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endnotes.xml" ContentType="application/vnd.openxmlformats-officedocument.wordprocessingml.endnotes+xml"/>
  <Override PartName="/word/footer5.xml" ContentType="application/vnd.openxmlformats-officedocument.wordprocessingml.footer+xml"/>
  <Override PartName="/word/header9.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webextensions/webextension1.xml" ContentType="application/vnd.ms-office.webextension+xml"/>
  <Override PartName="/word/theme/theme1.xml" ContentType="application/vnd.openxmlformats-officedocument.theme+xml"/>
  <Override PartName="/word/webextensions/taskpanes.xml" ContentType="application/vnd.ms-office.webextensiontaskpane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904A5" w14:textId="23538C93" w:rsidR="002A5913" w:rsidRPr="00805B15" w:rsidRDefault="002A5913" w:rsidP="002A5913">
      <w:pPr>
        <w:pStyle w:val="BodyText"/>
        <w:jc w:val="center"/>
        <w:rPr>
          <w:rFonts w:asciiTheme="majorHAnsi" w:hAnsiTheme="majorHAnsi"/>
          <w:b/>
          <w:szCs w:val="22"/>
        </w:rPr>
      </w:pPr>
    </w:p>
    <w:p w14:paraId="12A420A9" w14:textId="77777777" w:rsidR="002A5913" w:rsidRPr="00805B15" w:rsidRDefault="002A5913" w:rsidP="002A5913">
      <w:pPr>
        <w:pStyle w:val="BodyText"/>
        <w:jc w:val="center"/>
        <w:rPr>
          <w:rFonts w:asciiTheme="majorHAnsi" w:hAnsiTheme="majorHAnsi"/>
          <w:szCs w:val="22"/>
        </w:rPr>
      </w:pPr>
    </w:p>
    <w:p w14:paraId="3D85AA78" w14:textId="04FEC8D9" w:rsidR="002A5913" w:rsidRPr="00805B15" w:rsidRDefault="002A5913" w:rsidP="002A5913">
      <w:pPr>
        <w:pStyle w:val="BodyText"/>
        <w:jc w:val="center"/>
        <w:rPr>
          <w:rFonts w:asciiTheme="majorHAnsi" w:hAnsiTheme="majorHAnsi"/>
          <w:szCs w:val="22"/>
        </w:rPr>
      </w:pPr>
    </w:p>
    <w:p w14:paraId="3D6BDF56" w14:textId="14A95131" w:rsidR="00A30BFD" w:rsidRPr="00323B02" w:rsidRDefault="00873C55" w:rsidP="002A5913">
      <w:pPr>
        <w:pStyle w:val="BodyText"/>
        <w:jc w:val="center"/>
        <w:rPr>
          <w:rFonts w:asciiTheme="majorHAnsi" w:hAnsiTheme="majorHAnsi"/>
          <w:szCs w:val="22"/>
        </w:rPr>
      </w:pPr>
      <w:r w:rsidRPr="00323B02">
        <w:rPr>
          <w:rFonts w:asciiTheme="majorHAnsi" w:hAnsiTheme="majorHAnsi"/>
          <w:noProof/>
          <w:szCs w:val="22"/>
        </w:rPr>
        <w:drawing>
          <wp:inline distT="0" distB="0" distL="0" distR="0" wp14:anchorId="360FB3D1" wp14:editId="2DD31C8D">
            <wp:extent cx="3703979" cy="1143285"/>
            <wp:effectExtent l="0" t="0" r="0" b="0"/>
            <wp:docPr id="1510853083" name="Picture 1" descr="A blue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3747490" cy="1156715"/>
                    </a:xfrm>
                    <a:prstGeom prst="rect">
                      <a:avLst/>
                    </a:prstGeom>
                  </pic:spPr>
                </pic:pic>
              </a:graphicData>
            </a:graphic>
          </wp:inline>
        </w:drawing>
      </w:r>
    </w:p>
    <w:p w14:paraId="75390B1F" w14:textId="77777777" w:rsidR="00B95336" w:rsidRPr="00323B02" w:rsidRDefault="00B95336" w:rsidP="002A5913">
      <w:pPr>
        <w:pStyle w:val="BodyText"/>
        <w:jc w:val="center"/>
        <w:rPr>
          <w:rFonts w:asciiTheme="majorHAnsi" w:hAnsiTheme="majorHAnsi"/>
          <w:szCs w:val="22"/>
        </w:rPr>
      </w:pPr>
    </w:p>
    <w:p w14:paraId="79D6F4F7" w14:textId="77777777" w:rsidR="002A5913" w:rsidRPr="00323B02" w:rsidRDefault="002A5913" w:rsidP="002A5913">
      <w:pPr>
        <w:pStyle w:val="BodyText"/>
        <w:jc w:val="center"/>
        <w:rPr>
          <w:rFonts w:asciiTheme="majorHAnsi" w:hAnsiTheme="majorHAnsi"/>
          <w:szCs w:val="22"/>
        </w:rPr>
      </w:pPr>
    </w:p>
    <w:p w14:paraId="46808E62" w14:textId="77777777" w:rsidR="002A5913" w:rsidRPr="00323B02" w:rsidRDefault="002A5913" w:rsidP="002A5913">
      <w:pPr>
        <w:pStyle w:val="BodyText"/>
        <w:jc w:val="center"/>
        <w:rPr>
          <w:rFonts w:asciiTheme="majorHAnsi" w:hAnsiTheme="majorHAnsi"/>
          <w:szCs w:val="22"/>
        </w:rPr>
      </w:pPr>
    </w:p>
    <w:p w14:paraId="4CE319BF" w14:textId="77777777" w:rsidR="002A5913" w:rsidRPr="00323B02" w:rsidRDefault="002A5913" w:rsidP="002A5913">
      <w:pPr>
        <w:pStyle w:val="BodyText"/>
        <w:pBdr>
          <w:top w:val="single" w:sz="4" w:space="1" w:color="auto"/>
        </w:pBdr>
        <w:ind w:left="2410" w:right="2363"/>
        <w:jc w:val="center"/>
        <w:rPr>
          <w:rFonts w:asciiTheme="majorHAnsi" w:hAnsiTheme="majorHAnsi"/>
          <w:szCs w:val="22"/>
        </w:rPr>
      </w:pPr>
    </w:p>
    <w:p w14:paraId="32454F46" w14:textId="0876A523" w:rsidR="00EE3987" w:rsidRPr="00323B02" w:rsidRDefault="00EE3987" w:rsidP="00EE3987">
      <w:pPr>
        <w:pStyle w:val="BodyText"/>
        <w:jc w:val="center"/>
        <w:rPr>
          <w:rFonts w:asciiTheme="majorHAnsi" w:hAnsiTheme="majorHAnsi"/>
          <w:b/>
          <w:szCs w:val="22"/>
        </w:rPr>
      </w:pPr>
      <w:r w:rsidRPr="00323B02">
        <w:rPr>
          <w:rFonts w:asciiTheme="majorHAnsi" w:hAnsiTheme="majorHAnsi"/>
          <w:b/>
          <w:szCs w:val="22"/>
        </w:rPr>
        <w:t>GREAT BRITISH ENERGY</w:t>
      </w:r>
    </w:p>
    <w:p w14:paraId="4FC639E8" w14:textId="123E87B2" w:rsidR="002A5913" w:rsidRPr="00323B02" w:rsidRDefault="00C6750D" w:rsidP="00EE3987">
      <w:pPr>
        <w:pStyle w:val="BodyText"/>
        <w:jc w:val="center"/>
        <w:rPr>
          <w:rFonts w:asciiTheme="majorHAnsi" w:hAnsiTheme="majorHAnsi"/>
          <w:b/>
          <w:szCs w:val="22"/>
        </w:rPr>
      </w:pPr>
      <w:r w:rsidRPr="00323B02">
        <w:rPr>
          <w:rFonts w:asciiTheme="majorHAnsi" w:hAnsiTheme="majorHAnsi"/>
          <w:b/>
          <w:szCs w:val="22"/>
        </w:rPr>
        <w:t>FACILITY AGREEMENT</w:t>
      </w:r>
      <w:r w:rsidR="00E162BB" w:rsidRPr="00323B02">
        <w:rPr>
          <w:rFonts w:asciiTheme="majorHAnsi" w:hAnsiTheme="majorHAnsi"/>
          <w:b/>
          <w:szCs w:val="22"/>
        </w:rPr>
        <w:t xml:space="preserve"> </w:t>
      </w:r>
      <w:r w:rsidR="00EE3987" w:rsidRPr="00323B02">
        <w:rPr>
          <w:rFonts w:asciiTheme="majorHAnsi" w:hAnsiTheme="majorHAnsi"/>
          <w:b/>
          <w:szCs w:val="22"/>
        </w:rPr>
        <w:t>– LEGAL GUIDANCE</w:t>
      </w:r>
    </w:p>
    <w:p w14:paraId="02A85167" w14:textId="77777777" w:rsidR="002A5913" w:rsidRPr="00323B02" w:rsidRDefault="002A5913" w:rsidP="002A5913">
      <w:pPr>
        <w:pStyle w:val="BodyText"/>
        <w:pBdr>
          <w:bottom w:val="single" w:sz="4" w:space="1" w:color="auto"/>
        </w:pBdr>
        <w:ind w:left="2410" w:right="2364"/>
        <w:jc w:val="center"/>
        <w:rPr>
          <w:rFonts w:asciiTheme="majorHAnsi" w:hAnsiTheme="majorHAnsi"/>
          <w:szCs w:val="22"/>
        </w:rPr>
      </w:pPr>
    </w:p>
    <w:p w14:paraId="0E4780E9" w14:textId="77777777" w:rsidR="002A5913" w:rsidRPr="00323B02" w:rsidRDefault="002A5913" w:rsidP="002A5913">
      <w:pPr>
        <w:pStyle w:val="BodyText"/>
        <w:jc w:val="center"/>
        <w:rPr>
          <w:rFonts w:asciiTheme="majorHAnsi" w:hAnsiTheme="majorHAnsi"/>
          <w:szCs w:val="22"/>
        </w:rPr>
      </w:pPr>
    </w:p>
    <w:p w14:paraId="68292FBB" w14:textId="77777777" w:rsidR="002A5913" w:rsidRPr="00323B02" w:rsidRDefault="002A5913" w:rsidP="002A5913">
      <w:pPr>
        <w:pStyle w:val="BodyText"/>
        <w:jc w:val="center"/>
        <w:rPr>
          <w:rFonts w:asciiTheme="majorHAnsi" w:hAnsiTheme="majorHAnsi"/>
          <w:szCs w:val="22"/>
        </w:rPr>
      </w:pPr>
    </w:p>
    <w:p w14:paraId="60140348" w14:textId="77777777" w:rsidR="00FC6DAB" w:rsidRPr="00323B02" w:rsidRDefault="00FC6DAB" w:rsidP="002A5913">
      <w:pPr>
        <w:pStyle w:val="BodyText"/>
        <w:jc w:val="center"/>
        <w:rPr>
          <w:rFonts w:asciiTheme="majorHAnsi" w:hAnsiTheme="majorHAnsi"/>
          <w:szCs w:val="22"/>
        </w:rPr>
      </w:pPr>
    </w:p>
    <w:p w14:paraId="68A09208" w14:textId="77777777" w:rsidR="00FC6DAB" w:rsidRPr="00323B02" w:rsidRDefault="00FC6DAB" w:rsidP="002A5913">
      <w:pPr>
        <w:pStyle w:val="BodyText"/>
        <w:jc w:val="center"/>
        <w:rPr>
          <w:rFonts w:asciiTheme="majorHAnsi" w:hAnsiTheme="majorHAnsi"/>
          <w:szCs w:val="22"/>
        </w:rPr>
      </w:pPr>
    </w:p>
    <w:p w14:paraId="2594E74D" w14:textId="77777777" w:rsidR="00FC6DAB" w:rsidRPr="00323B02" w:rsidRDefault="00FC6DAB" w:rsidP="002A5913">
      <w:pPr>
        <w:pStyle w:val="BodyText"/>
        <w:jc w:val="center"/>
        <w:rPr>
          <w:rFonts w:asciiTheme="majorHAnsi" w:hAnsiTheme="majorHAnsi"/>
          <w:i/>
          <w:iCs/>
          <w:szCs w:val="22"/>
        </w:rPr>
      </w:pPr>
    </w:p>
    <w:p w14:paraId="5893713D" w14:textId="77777777" w:rsidR="00FC6DAB" w:rsidRPr="00323B02" w:rsidRDefault="00FC6DAB" w:rsidP="002A5913">
      <w:pPr>
        <w:pStyle w:val="BodyText"/>
        <w:jc w:val="center"/>
        <w:rPr>
          <w:rFonts w:asciiTheme="majorHAnsi" w:hAnsiTheme="majorHAnsi"/>
          <w:szCs w:val="22"/>
        </w:rPr>
      </w:pPr>
    </w:p>
    <w:p w14:paraId="6A6A969E" w14:textId="77777777" w:rsidR="00FC6DAB" w:rsidRPr="00323B02" w:rsidRDefault="00FC6DAB" w:rsidP="002A5913">
      <w:pPr>
        <w:pStyle w:val="BodyText"/>
        <w:jc w:val="center"/>
        <w:rPr>
          <w:rFonts w:asciiTheme="majorHAnsi" w:hAnsiTheme="majorHAnsi"/>
          <w:szCs w:val="22"/>
        </w:rPr>
      </w:pPr>
    </w:p>
    <w:p w14:paraId="60161E4F" w14:textId="77777777" w:rsidR="00FC6DAB" w:rsidRPr="00323B02" w:rsidRDefault="00FC6DAB" w:rsidP="002A5913">
      <w:pPr>
        <w:pStyle w:val="BodyText"/>
        <w:jc w:val="center"/>
        <w:rPr>
          <w:rFonts w:asciiTheme="majorHAnsi" w:hAnsiTheme="majorHAnsi"/>
          <w:szCs w:val="22"/>
        </w:rPr>
      </w:pPr>
    </w:p>
    <w:p w14:paraId="27A353EF" w14:textId="77777777" w:rsidR="009829EA" w:rsidRPr="00323B02" w:rsidRDefault="009829EA" w:rsidP="009829EA">
      <w:pPr>
        <w:pStyle w:val="BodyText"/>
        <w:rPr>
          <w:rFonts w:asciiTheme="majorHAnsi" w:hAnsiTheme="majorHAnsi"/>
          <w:szCs w:val="22"/>
        </w:rPr>
      </w:pPr>
    </w:p>
    <w:p w14:paraId="586D8E72" w14:textId="735BCD90" w:rsidR="00A30BFD" w:rsidRPr="00323B02" w:rsidRDefault="00A30BFD" w:rsidP="00A30BFD">
      <w:pPr>
        <w:pStyle w:val="BodyText"/>
        <w:spacing w:after="0"/>
        <w:jc w:val="center"/>
        <w:rPr>
          <w:rFonts w:asciiTheme="majorHAnsi" w:hAnsiTheme="majorHAnsi"/>
          <w:b/>
          <w:szCs w:val="22"/>
        </w:rPr>
      </w:pPr>
      <w:bookmarkStart w:id="0" w:name="labFirmEntities"/>
      <w:bookmarkEnd w:id="0"/>
    </w:p>
    <w:p w14:paraId="164CAD47" w14:textId="77777777" w:rsidR="002A5913" w:rsidRPr="00323B02" w:rsidRDefault="002A5913" w:rsidP="002A5913">
      <w:pPr>
        <w:pStyle w:val="BodyText"/>
        <w:rPr>
          <w:rFonts w:asciiTheme="majorHAnsi" w:hAnsiTheme="majorHAnsi"/>
          <w:szCs w:val="22"/>
        </w:rPr>
        <w:sectPr w:rsidR="002A5913" w:rsidRPr="00323B02" w:rsidSect="008655EE">
          <w:headerReference w:type="even" r:id="rId10"/>
          <w:headerReference w:type="default" r:id="rId11"/>
          <w:footerReference w:type="even" r:id="rId12"/>
          <w:footerReference w:type="default" r:id="rId13"/>
          <w:headerReference w:type="first" r:id="rId14"/>
          <w:footerReference w:type="first" r:id="rId15"/>
          <w:pgSz w:w="11906" w:h="16838" w:code="9"/>
          <w:pgMar w:top="1440" w:right="1440" w:bottom="1440" w:left="1440" w:header="708" w:footer="708" w:gutter="0"/>
          <w:cols w:space="708"/>
          <w:titlePg/>
          <w:docGrid w:linePitch="360"/>
        </w:sectPr>
      </w:pPr>
    </w:p>
    <w:p w14:paraId="16A03CB6" w14:textId="77777777" w:rsidR="002A5913" w:rsidRPr="00323B02" w:rsidRDefault="002A5913" w:rsidP="002A5913">
      <w:pPr>
        <w:pStyle w:val="BodyText"/>
        <w:jc w:val="center"/>
        <w:rPr>
          <w:rFonts w:asciiTheme="majorHAnsi" w:hAnsiTheme="majorHAnsi"/>
          <w:b/>
          <w:szCs w:val="22"/>
        </w:rPr>
      </w:pPr>
      <w:r w:rsidRPr="00323B02">
        <w:rPr>
          <w:rFonts w:asciiTheme="majorHAnsi" w:hAnsiTheme="majorHAnsi"/>
          <w:b/>
          <w:szCs w:val="22"/>
        </w:rPr>
        <w:lastRenderedPageBreak/>
        <w:t>CONTENTS</w:t>
      </w:r>
    </w:p>
    <w:tbl>
      <w:tblPr>
        <w:tblW w:w="5000" w:type="pct"/>
        <w:tblLook w:val="01E0" w:firstRow="1" w:lastRow="1" w:firstColumn="1" w:lastColumn="1" w:noHBand="0" w:noVBand="0"/>
      </w:tblPr>
      <w:tblGrid>
        <w:gridCol w:w="7818"/>
        <w:gridCol w:w="1252"/>
      </w:tblGrid>
      <w:tr w:rsidR="002A5913" w:rsidRPr="00323B02" w14:paraId="3950B35A" w14:textId="77777777" w:rsidTr="00821BEB">
        <w:tc>
          <w:tcPr>
            <w:tcW w:w="4310" w:type="pct"/>
          </w:tcPr>
          <w:p w14:paraId="155F169C" w14:textId="7D942816" w:rsidR="002A5913" w:rsidRPr="00323B02" w:rsidRDefault="002A5913" w:rsidP="00A30BFD">
            <w:pPr>
              <w:pStyle w:val="BodyText"/>
              <w:ind w:left="-79"/>
              <w:rPr>
                <w:rFonts w:asciiTheme="majorHAnsi" w:hAnsiTheme="majorHAnsi"/>
                <w:szCs w:val="22"/>
              </w:rPr>
            </w:pPr>
            <w:r w:rsidRPr="00323B02">
              <w:rPr>
                <w:rFonts w:asciiTheme="majorHAnsi" w:hAnsiTheme="majorHAnsi"/>
                <w:b/>
                <w:szCs w:val="22"/>
              </w:rPr>
              <w:t>Clause Heading</w:t>
            </w:r>
          </w:p>
        </w:tc>
        <w:tc>
          <w:tcPr>
            <w:tcW w:w="690" w:type="pct"/>
          </w:tcPr>
          <w:p w14:paraId="7BF32148" w14:textId="77777777" w:rsidR="002A5913" w:rsidRPr="00323B02" w:rsidRDefault="002A5913" w:rsidP="00203B5C">
            <w:pPr>
              <w:pStyle w:val="BodyText"/>
              <w:jc w:val="right"/>
              <w:rPr>
                <w:rFonts w:asciiTheme="majorHAnsi" w:hAnsiTheme="majorHAnsi"/>
                <w:szCs w:val="22"/>
              </w:rPr>
            </w:pPr>
            <w:r w:rsidRPr="00323B02">
              <w:rPr>
                <w:rFonts w:asciiTheme="majorHAnsi" w:hAnsiTheme="majorHAnsi"/>
                <w:b/>
                <w:szCs w:val="22"/>
              </w:rPr>
              <w:t>Page</w:t>
            </w:r>
          </w:p>
        </w:tc>
      </w:tr>
    </w:tbl>
    <w:p w14:paraId="7F2502E8" w14:textId="494BB4A1" w:rsidR="00A34295" w:rsidRDefault="002A5913">
      <w:pPr>
        <w:pStyle w:val="TOC1"/>
        <w:rPr>
          <w:rFonts w:asciiTheme="minorHAnsi" w:eastAsiaTheme="minorEastAsia" w:hAnsiTheme="minorHAnsi" w:cstheme="minorBidi"/>
          <w:noProof/>
          <w:kern w:val="2"/>
          <w:sz w:val="24"/>
          <w:szCs w:val="24"/>
          <w:lang w:eastAsia="en-GB"/>
          <w14:ligatures w14:val="standardContextual"/>
        </w:rPr>
      </w:pPr>
      <w:r w:rsidRPr="00323B02">
        <w:rPr>
          <w:rFonts w:asciiTheme="majorHAnsi" w:hAnsiTheme="majorHAnsi"/>
          <w:noProof/>
          <w:sz w:val="22"/>
          <w:szCs w:val="22"/>
        </w:rPr>
        <w:fldChar w:fldCharType="begin"/>
      </w:r>
      <w:r w:rsidRPr="00323B02">
        <w:rPr>
          <w:rFonts w:asciiTheme="majorHAnsi" w:hAnsiTheme="majorHAnsi"/>
          <w:sz w:val="22"/>
          <w:szCs w:val="22"/>
        </w:rPr>
        <w:instrText xml:space="preserve"> TOC \o "1-1"\n "2-2" \h \z \t "B&amp;B Heading 1,1,B&amp;B Schedule Sub-title,2,B&amp;B Schedule Title,1" </w:instrText>
      </w:r>
      <w:r w:rsidRPr="00323B02">
        <w:rPr>
          <w:rFonts w:asciiTheme="majorHAnsi" w:hAnsiTheme="majorHAnsi"/>
          <w:noProof/>
          <w:sz w:val="22"/>
          <w:szCs w:val="22"/>
        </w:rPr>
        <w:fldChar w:fldCharType="separate"/>
      </w:r>
      <w:hyperlink w:anchor="_Toc225518678" w:history="1">
        <w:r w:rsidR="00A34295" w:rsidRPr="00490132">
          <w:rPr>
            <w:rStyle w:val="Hyperlink"/>
            <w:rFonts w:asciiTheme="majorHAnsi" w:hAnsiTheme="majorHAnsi"/>
            <w:noProof/>
          </w:rPr>
          <w:t>1.</w:t>
        </w:r>
        <w:r w:rsidR="00A34295">
          <w:rPr>
            <w:rFonts w:asciiTheme="minorHAnsi" w:eastAsiaTheme="minorEastAsia" w:hAnsiTheme="minorHAnsi" w:cstheme="minorBidi"/>
            <w:noProof/>
            <w:kern w:val="2"/>
            <w:sz w:val="24"/>
            <w:szCs w:val="24"/>
            <w:lang w:eastAsia="en-GB"/>
            <w14:ligatures w14:val="standardContextual"/>
          </w:rPr>
          <w:tab/>
        </w:r>
        <w:r w:rsidR="00A34295" w:rsidRPr="00490132">
          <w:rPr>
            <w:rStyle w:val="Hyperlink"/>
            <w:rFonts w:asciiTheme="majorHAnsi" w:hAnsiTheme="majorHAnsi"/>
            <w:noProof/>
          </w:rPr>
          <w:t>Introduction</w:t>
        </w:r>
        <w:r w:rsidR="00A34295">
          <w:rPr>
            <w:noProof/>
            <w:webHidden/>
          </w:rPr>
          <w:tab/>
        </w:r>
        <w:r w:rsidR="00A34295">
          <w:rPr>
            <w:noProof/>
            <w:webHidden/>
          </w:rPr>
          <w:fldChar w:fldCharType="begin"/>
        </w:r>
        <w:r w:rsidR="00A34295">
          <w:rPr>
            <w:noProof/>
            <w:webHidden/>
          </w:rPr>
          <w:instrText xml:space="preserve"> PAGEREF _Toc225518678 \h </w:instrText>
        </w:r>
        <w:r w:rsidR="00A34295">
          <w:rPr>
            <w:noProof/>
            <w:webHidden/>
          </w:rPr>
        </w:r>
        <w:r w:rsidR="00A34295">
          <w:rPr>
            <w:noProof/>
            <w:webHidden/>
          </w:rPr>
          <w:fldChar w:fldCharType="separate"/>
        </w:r>
        <w:r w:rsidR="00A34295">
          <w:rPr>
            <w:noProof/>
            <w:webHidden/>
          </w:rPr>
          <w:t>1</w:t>
        </w:r>
        <w:r w:rsidR="00A34295">
          <w:rPr>
            <w:noProof/>
            <w:webHidden/>
          </w:rPr>
          <w:fldChar w:fldCharType="end"/>
        </w:r>
      </w:hyperlink>
    </w:p>
    <w:p w14:paraId="49ED6F7F" w14:textId="31BC0565" w:rsidR="00A34295" w:rsidRDefault="00A34295">
      <w:pPr>
        <w:pStyle w:val="TOC1"/>
        <w:rPr>
          <w:rFonts w:asciiTheme="minorHAnsi" w:eastAsiaTheme="minorEastAsia" w:hAnsiTheme="minorHAnsi" w:cstheme="minorBidi"/>
          <w:noProof/>
          <w:kern w:val="2"/>
          <w:sz w:val="24"/>
          <w:szCs w:val="24"/>
          <w:lang w:eastAsia="en-GB"/>
          <w14:ligatures w14:val="standardContextual"/>
        </w:rPr>
      </w:pPr>
      <w:hyperlink w:anchor="_Toc225518679" w:history="1">
        <w:r w:rsidRPr="00490132">
          <w:rPr>
            <w:rStyle w:val="Hyperlink"/>
            <w:rFonts w:asciiTheme="majorHAnsi" w:hAnsiTheme="majorHAnsi"/>
            <w:noProof/>
          </w:rPr>
          <w:t>2.</w:t>
        </w:r>
        <w:r>
          <w:rPr>
            <w:rFonts w:asciiTheme="minorHAnsi" w:eastAsiaTheme="minorEastAsia" w:hAnsiTheme="minorHAnsi" w:cstheme="minorBidi"/>
            <w:noProof/>
            <w:kern w:val="2"/>
            <w:sz w:val="24"/>
            <w:szCs w:val="24"/>
            <w:lang w:eastAsia="en-GB"/>
            <w14:ligatures w14:val="standardContextual"/>
          </w:rPr>
          <w:tab/>
        </w:r>
        <w:r w:rsidRPr="00490132">
          <w:rPr>
            <w:rStyle w:val="Hyperlink"/>
            <w:rFonts w:asciiTheme="majorHAnsi" w:hAnsiTheme="majorHAnsi"/>
            <w:noProof/>
          </w:rPr>
          <w:t>Use of Template and this Guidance</w:t>
        </w:r>
        <w:r>
          <w:rPr>
            <w:noProof/>
            <w:webHidden/>
          </w:rPr>
          <w:tab/>
        </w:r>
        <w:r>
          <w:rPr>
            <w:noProof/>
            <w:webHidden/>
          </w:rPr>
          <w:fldChar w:fldCharType="begin"/>
        </w:r>
        <w:r>
          <w:rPr>
            <w:noProof/>
            <w:webHidden/>
          </w:rPr>
          <w:instrText xml:space="preserve"> PAGEREF _Toc225518679 \h </w:instrText>
        </w:r>
        <w:r>
          <w:rPr>
            <w:noProof/>
            <w:webHidden/>
          </w:rPr>
        </w:r>
        <w:r>
          <w:rPr>
            <w:noProof/>
            <w:webHidden/>
          </w:rPr>
          <w:fldChar w:fldCharType="separate"/>
        </w:r>
        <w:r>
          <w:rPr>
            <w:noProof/>
            <w:webHidden/>
          </w:rPr>
          <w:t>2</w:t>
        </w:r>
        <w:r>
          <w:rPr>
            <w:noProof/>
            <w:webHidden/>
          </w:rPr>
          <w:fldChar w:fldCharType="end"/>
        </w:r>
      </w:hyperlink>
    </w:p>
    <w:p w14:paraId="34DB46A9" w14:textId="3138C0C5" w:rsidR="00A34295" w:rsidRDefault="00A34295">
      <w:pPr>
        <w:pStyle w:val="TOC1"/>
        <w:rPr>
          <w:rFonts w:asciiTheme="minorHAnsi" w:eastAsiaTheme="minorEastAsia" w:hAnsiTheme="minorHAnsi" w:cstheme="minorBidi"/>
          <w:noProof/>
          <w:kern w:val="2"/>
          <w:sz w:val="24"/>
          <w:szCs w:val="24"/>
          <w:lang w:eastAsia="en-GB"/>
          <w14:ligatures w14:val="standardContextual"/>
        </w:rPr>
      </w:pPr>
      <w:hyperlink w:anchor="_Toc225518680" w:history="1">
        <w:r w:rsidRPr="00490132">
          <w:rPr>
            <w:rStyle w:val="Hyperlink"/>
            <w:rFonts w:asciiTheme="majorHAnsi" w:hAnsiTheme="majorHAnsi"/>
            <w:noProof/>
          </w:rPr>
          <w:t>Glossary of Key Terms and Abbreviations</w:t>
        </w:r>
        <w:r>
          <w:rPr>
            <w:noProof/>
            <w:webHidden/>
          </w:rPr>
          <w:tab/>
        </w:r>
        <w:r>
          <w:rPr>
            <w:noProof/>
            <w:webHidden/>
          </w:rPr>
          <w:fldChar w:fldCharType="begin"/>
        </w:r>
        <w:r>
          <w:rPr>
            <w:noProof/>
            <w:webHidden/>
          </w:rPr>
          <w:instrText xml:space="preserve"> PAGEREF _Toc225518680 \h </w:instrText>
        </w:r>
        <w:r>
          <w:rPr>
            <w:noProof/>
            <w:webHidden/>
          </w:rPr>
        </w:r>
        <w:r>
          <w:rPr>
            <w:noProof/>
            <w:webHidden/>
          </w:rPr>
          <w:fldChar w:fldCharType="separate"/>
        </w:r>
        <w:r>
          <w:rPr>
            <w:noProof/>
            <w:webHidden/>
          </w:rPr>
          <w:t>2</w:t>
        </w:r>
        <w:r>
          <w:rPr>
            <w:noProof/>
            <w:webHidden/>
          </w:rPr>
          <w:fldChar w:fldCharType="end"/>
        </w:r>
      </w:hyperlink>
    </w:p>
    <w:p w14:paraId="5B328DF8" w14:textId="0FEC5ED1" w:rsidR="00A34295" w:rsidRDefault="00A34295">
      <w:pPr>
        <w:pStyle w:val="TOC1"/>
        <w:rPr>
          <w:rFonts w:asciiTheme="minorHAnsi" w:eastAsiaTheme="minorEastAsia" w:hAnsiTheme="minorHAnsi" w:cstheme="minorBidi"/>
          <w:noProof/>
          <w:kern w:val="2"/>
          <w:sz w:val="24"/>
          <w:szCs w:val="24"/>
          <w:lang w:eastAsia="en-GB"/>
          <w14:ligatures w14:val="standardContextual"/>
        </w:rPr>
      </w:pPr>
      <w:hyperlink w:anchor="_Toc225518682" w:history="1">
        <w:r w:rsidRPr="00490132">
          <w:rPr>
            <w:rStyle w:val="Hyperlink"/>
            <w:rFonts w:asciiTheme="majorHAnsi" w:hAnsiTheme="majorHAnsi"/>
            <w:noProof/>
          </w:rPr>
          <w:t>3.</w:t>
        </w:r>
        <w:r>
          <w:rPr>
            <w:rFonts w:asciiTheme="minorHAnsi" w:eastAsiaTheme="minorEastAsia" w:hAnsiTheme="minorHAnsi" w:cstheme="minorBidi"/>
            <w:noProof/>
            <w:kern w:val="2"/>
            <w:sz w:val="24"/>
            <w:szCs w:val="24"/>
            <w:lang w:eastAsia="en-GB"/>
            <w14:ligatures w14:val="standardContextual"/>
          </w:rPr>
          <w:tab/>
        </w:r>
        <w:r w:rsidRPr="00490132">
          <w:rPr>
            <w:rStyle w:val="Hyperlink"/>
            <w:rFonts w:asciiTheme="majorHAnsi" w:hAnsiTheme="majorHAnsi"/>
            <w:noProof/>
          </w:rPr>
          <w:t>Clause-by-clause commentary</w:t>
        </w:r>
        <w:r>
          <w:rPr>
            <w:noProof/>
            <w:webHidden/>
          </w:rPr>
          <w:tab/>
        </w:r>
        <w:r>
          <w:rPr>
            <w:noProof/>
            <w:webHidden/>
          </w:rPr>
          <w:fldChar w:fldCharType="begin"/>
        </w:r>
        <w:r>
          <w:rPr>
            <w:noProof/>
            <w:webHidden/>
          </w:rPr>
          <w:instrText xml:space="preserve"> PAGEREF _Toc225518682 \h </w:instrText>
        </w:r>
        <w:r>
          <w:rPr>
            <w:noProof/>
            <w:webHidden/>
          </w:rPr>
        </w:r>
        <w:r>
          <w:rPr>
            <w:noProof/>
            <w:webHidden/>
          </w:rPr>
          <w:fldChar w:fldCharType="separate"/>
        </w:r>
        <w:r>
          <w:rPr>
            <w:noProof/>
            <w:webHidden/>
          </w:rPr>
          <w:t>5</w:t>
        </w:r>
        <w:r>
          <w:rPr>
            <w:noProof/>
            <w:webHidden/>
          </w:rPr>
          <w:fldChar w:fldCharType="end"/>
        </w:r>
      </w:hyperlink>
    </w:p>
    <w:p w14:paraId="5193FA0B" w14:textId="5A348B30" w:rsidR="00D335E0" w:rsidRPr="00323B02" w:rsidRDefault="002A5913" w:rsidP="002A5913">
      <w:pPr>
        <w:rPr>
          <w:rFonts w:asciiTheme="majorHAnsi" w:hAnsiTheme="majorHAnsi"/>
          <w:sz w:val="22"/>
          <w:szCs w:val="22"/>
        </w:rPr>
      </w:pPr>
      <w:r w:rsidRPr="00323B02">
        <w:rPr>
          <w:rFonts w:asciiTheme="majorHAnsi" w:hAnsiTheme="majorHAnsi"/>
          <w:sz w:val="22"/>
          <w:szCs w:val="22"/>
        </w:rPr>
        <w:fldChar w:fldCharType="end"/>
      </w:r>
    </w:p>
    <w:p w14:paraId="26C6F421" w14:textId="77777777" w:rsidR="00D833B4" w:rsidRPr="00323B02" w:rsidRDefault="00D833B4" w:rsidP="002A5913">
      <w:pPr>
        <w:rPr>
          <w:rFonts w:asciiTheme="majorHAnsi" w:hAnsiTheme="majorHAnsi"/>
          <w:sz w:val="22"/>
          <w:szCs w:val="22"/>
        </w:rPr>
      </w:pPr>
    </w:p>
    <w:p w14:paraId="150A4C93" w14:textId="77777777" w:rsidR="002A5913" w:rsidRPr="00323B02" w:rsidRDefault="002A5913" w:rsidP="002A5913">
      <w:pPr>
        <w:pStyle w:val="BodyText"/>
        <w:spacing w:after="0"/>
        <w:jc w:val="center"/>
        <w:outlineLvl w:val="0"/>
        <w:rPr>
          <w:rFonts w:asciiTheme="majorHAnsi" w:hAnsiTheme="majorHAnsi"/>
          <w:b/>
          <w:szCs w:val="22"/>
        </w:rPr>
        <w:sectPr w:rsidR="002A5913" w:rsidRPr="00323B02" w:rsidSect="008655EE">
          <w:headerReference w:type="even" r:id="rId16"/>
          <w:headerReference w:type="default" r:id="rId17"/>
          <w:footerReference w:type="default" r:id="rId18"/>
          <w:headerReference w:type="first" r:id="rId19"/>
          <w:pgSz w:w="11906" w:h="16838" w:code="9"/>
          <w:pgMar w:top="1440" w:right="1418" w:bottom="1440" w:left="1418" w:header="720" w:footer="720" w:gutter="0"/>
          <w:cols w:space="720"/>
          <w:docGrid w:linePitch="272"/>
        </w:sectPr>
      </w:pPr>
    </w:p>
    <w:p w14:paraId="1354285D" w14:textId="194BCF45" w:rsidR="003C4CA6" w:rsidRPr="00323B02" w:rsidRDefault="009F5866" w:rsidP="003C4CA6">
      <w:pPr>
        <w:pStyle w:val="BBHeading1Lower"/>
        <w:numPr>
          <w:ilvl w:val="0"/>
          <w:numId w:val="8"/>
        </w:numPr>
        <w:rPr>
          <w:rFonts w:asciiTheme="majorHAnsi" w:hAnsiTheme="majorHAnsi"/>
          <w:szCs w:val="22"/>
        </w:rPr>
      </w:pPr>
      <w:bookmarkStart w:id="1" w:name="_Toc225518678"/>
      <w:r w:rsidRPr="00323B02">
        <w:rPr>
          <w:rFonts w:asciiTheme="majorHAnsi" w:hAnsiTheme="majorHAnsi"/>
          <w:szCs w:val="22"/>
        </w:rPr>
        <w:lastRenderedPageBreak/>
        <w:t>Introduction</w:t>
      </w:r>
      <w:bookmarkEnd w:id="1"/>
    </w:p>
    <w:p w14:paraId="684CFB7D" w14:textId="0E53EBF9" w:rsidR="00AD0A06" w:rsidRPr="00323B02" w:rsidRDefault="00C6750D" w:rsidP="00C6750D">
      <w:pPr>
        <w:pStyle w:val="BBClause2"/>
        <w:rPr>
          <w:rFonts w:asciiTheme="majorHAnsi" w:hAnsiTheme="majorHAnsi"/>
          <w:szCs w:val="22"/>
        </w:rPr>
      </w:pPr>
      <w:r w:rsidRPr="00323B02">
        <w:rPr>
          <w:rFonts w:asciiTheme="majorHAnsi" w:hAnsiTheme="majorHAnsi"/>
          <w:szCs w:val="22"/>
        </w:rPr>
        <w:t>This guidance accompan</w:t>
      </w:r>
      <w:r w:rsidR="00863635">
        <w:rPr>
          <w:rFonts w:asciiTheme="majorHAnsi" w:hAnsiTheme="majorHAnsi"/>
          <w:szCs w:val="22"/>
        </w:rPr>
        <w:t>ies</w:t>
      </w:r>
      <w:r w:rsidRPr="00323B02">
        <w:rPr>
          <w:rFonts w:asciiTheme="majorHAnsi" w:hAnsiTheme="majorHAnsi"/>
          <w:szCs w:val="22"/>
        </w:rPr>
        <w:t xml:space="preserve"> the template Facility Agreement (</w:t>
      </w:r>
      <w:r w:rsidRPr="00323B02">
        <w:rPr>
          <w:rFonts w:asciiTheme="majorHAnsi" w:hAnsiTheme="majorHAnsi"/>
          <w:b/>
          <w:bCs/>
          <w:szCs w:val="22"/>
        </w:rPr>
        <w:t>Template</w:t>
      </w:r>
      <w:r w:rsidRPr="00323B02">
        <w:rPr>
          <w:rFonts w:asciiTheme="majorHAnsi" w:hAnsiTheme="majorHAnsi"/>
          <w:szCs w:val="22"/>
        </w:rPr>
        <w:t xml:space="preserve"> or </w:t>
      </w:r>
      <w:r w:rsidRPr="00323B02">
        <w:rPr>
          <w:rFonts w:asciiTheme="majorHAnsi" w:hAnsiTheme="majorHAnsi"/>
          <w:b/>
          <w:bCs/>
          <w:szCs w:val="22"/>
        </w:rPr>
        <w:t>Agreement</w:t>
      </w:r>
      <w:r w:rsidRPr="00323B02">
        <w:rPr>
          <w:rFonts w:asciiTheme="majorHAnsi" w:hAnsiTheme="majorHAnsi"/>
          <w:szCs w:val="22"/>
        </w:rPr>
        <w:t>) for use</w:t>
      </w:r>
      <w:r w:rsidR="00AD0A06" w:rsidRPr="00323B02">
        <w:rPr>
          <w:rFonts w:asciiTheme="majorHAnsi" w:hAnsiTheme="majorHAnsi"/>
          <w:szCs w:val="22"/>
        </w:rPr>
        <w:t xml:space="preserve"> where the Community Energy Group (</w:t>
      </w:r>
      <w:r w:rsidR="00AD0A06" w:rsidRPr="00323B02">
        <w:rPr>
          <w:rFonts w:asciiTheme="majorHAnsi" w:hAnsiTheme="majorHAnsi"/>
          <w:b/>
          <w:bCs/>
          <w:szCs w:val="22"/>
        </w:rPr>
        <w:t>CEG</w:t>
      </w:r>
      <w:r w:rsidR="00AD0A06" w:rsidRPr="00323B02">
        <w:rPr>
          <w:rFonts w:asciiTheme="majorHAnsi" w:hAnsiTheme="majorHAnsi"/>
          <w:szCs w:val="22"/>
        </w:rPr>
        <w:t>) is providing loan funding to a borrower entity</w:t>
      </w:r>
      <w:r w:rsidRPr="00323B02">
        <w:rPr>
          <w:rFonts w:asciiTheme="majorHAnsi" w:hAnsiTheme="majorHAnsi"/>
          <w:szCs w:val="22"/>
        </w:rPr>
        <w:t xml:space="preserve">. </w:t>
      </w:r>
    </w:p>
    <w:p w14:paraId="5E1D0C25" w14:textId="1CACCF2B" w:rsidR="00C6750D" w:rsidRPr="00323B02" w:rsidRDefault="00C6750D" w:rsidP="00C6750D">
      <w:pPr>
        <w:pStyle w:val="BBClause2"/>
        <w:rPr>
          <w:rFonts w:asciiTheme="majorHAnsi" w:hAnsiTheme="majorHAnsi"/>
          <w:szCs w:val="22"/>
        </w:rPr>
      </w:pPr>
      <w:r w:rsidRPr="00323B02">
        <w:rPr>
          <w:rFonts w:asciiTheme="majorHAnsi" w:hAnsiTheme="majorHAnsi"/>
          <w:szCs w:val="22"/>
        </w:rPr>
        <w:t xml:space="preserve">The Agreement </w:t>
      </w:r>
      <w:r w:rsidR="00357960" w:rsidRPr="00323B02">
        <w:rPr>
          <w:rFonts w:asciiTheme="majorHAnsi" w:hAnsiTheme="majorHAnsi"/>
          <w:szCs w:val="22"/>
        </w:rPr>
        <w:t xml:space="preserve">is a standard form facility agreement which </w:t>
      </w:r>
      <w:r w:rsidRPr="00323B02">
        <w:rPr>
          <w:rFonts w:asciiTheme="majorHAnsi" w:hAnsiTheme="majorHAnsi"/>
          <w:szCs w:val="22"/>
        </w:rPr>
        <w:t>sets out the terms on which the CEG, as lender, will make loan funds available to the borrower, and the conditions under which those funds must be repaid.</w:t>
      </w:r>
    </w:p>
    <w:p w14:paraId="013BA1B1" w14:textId="39B9E43A" w:rsidR="00357960" w:rsidRDefault="00D724DB" w:rsidP="00357960">
      <w:pPr>
        <w:pStyle w:val="BBClause2"/>
        <w:rPr>
          <w:rFonts w:asciiTheme="majorHAnsi" w:hAnsiTheme="majorHAnsi"/>
          <w:szCs w:val="22"/>
        </w:rPr>
      </w:pPr>
      <w:r w:rsidRPr="00323B02">
        <w:rPr>
          <w:rFonts w:asciiTheme="majorHAnsi" w:hAnsiTheme="majorHAnsi"/>
          <w:szCs w:val="22"/>
        </w:rPr>
        <w:t xml:space="preserve">The Template is drafted for use in respect of a </w:t>
      </w:r>
      <w:r w:rsidR="00863635" w:rsidRPr="00863635">
        <w:rPr>
          <w:rFonts w:asciiTheme="majorHAnsi" w:hAnsiTheme="majorHAnsi"/>
          <w:szCs w:val="22"/>
        </w:rPr>
        <w:t>Shared Revenue Shared Ownership Project</w:t>
      </w:r>
      <w:r w:rsidR="00863635" w:rsidRPr="00863635" w:rsidDel="00863635">
        <w:rPr>
          <w:rFonts w:asciiTheme="majorHAnsi" w:hAnsiTheme="majorHAnsi"/>
          <w:szCs w:val="22"/>
        </w:rPr>
        <w:t xml:space="preserve"> </w:t>
      </w:r>
      <w:r w:rsidR="00F86274" w:rsidRPr="00323B02">
        <w:rPr>
          <w:rFonts w:asciiTheme="majorHAnsi" w:hAnsiTheme="majorHAnsi"/>
          <w:szCs w:val="22"/>
        </w:rPr>
        <w:t>whereby the CEG provides loan funding and receives revenue from the project under a separate Revenue Shar</w:t>
      </w:r>
      <w:r w:rsidR="00003157">
        <w:rPr>
          <w:rFonts w:asciiTheme="majorHAnsi" w:hAnsiTheme="majorHAnsi"/>
          <w:szCs w:val="22"/>
        </w:rPr>
        <w:t>ing</w:t>
      </w:r>
      <w:r w:rsidR="00F86274" w:rsidRPr="00323B02">
        <w:rPr>
          <w:rFonts w:asciiTheme="majorHAnsi" w:hAnsiTheme="majorHAnsi"/>
          <w:szCs w:val="22"/>
        </w:rPr>
        <w:t xml:space="preserve"> Agreement.  The Template can be adapted for other use cases involving a CEG providing loan funding to a Developer or the Developer’s </w:t>
      </w:r>
      <w:r w:rsidR="00100251" w:rsidRPr="00323B02">
        <w:rPr>
          <w:rFonts w:asciiTheme="majorHAnsi" w:hAnsiTheme="majorHAnsi"/>
          <w:szCs w:val="22"/>
        </w:rPr>
        <w:t>SPV but</w:t>
      </w:r>
      <w:r w:rsidR="00F86274" w:rsidRPr="00323B02">
        <w:rPr>
          <w:rFonts w:asciiTheme="majorHAnsi" w:hAnsiTheme="majorHAnsi"/>
          <w:szCs w:val="22"/>
        </w:rPr>
        <w:t xml:space="preserve"> will need tailoring to the specifics of your project. </w:t>
      </w:r>
    </w:p>
    <w:p w14:paraId="5A7EB59D" w14:textId="66DBD3B2" w:rsidR="00F175DE" w:rsidRPr="00323B02" w:rsidRDefault="00F175DE" w:rsidP="00357960">
      <w:pPr>
        <w:pStyle w:val="BBClause2"/>
        <w:rPr>
          <w:rFonts w:asciiTheme="majorHAnsi" w:hAnsiTheme="majorHAnsi"/>
          <w:szCs w:val="22"/>
        </w:rPr>
      </w:pPr>
      <w:r>
        <w:rPr>
          <w:rFonts w:asciiTheme="majorHAnsi" w:hAnsiTheme="majorHAnsi"/>
          <w:szCs w:val="22"/>
        </w:rPr>
        <w:t>The Template assumes the involvement of a Project Monitor to carry out technical due diligence and provide the CEG with independent advice on both initial and ongoing project risks.  If such a role is not to be carried out for the Project, references to Project Monitor should be removed throughout the Template.</w:t>
      </w:r>
    </w:p>
    <w:p w14:paraId="22AC4EB6" w14:textId="77777777" w:rsidR="00BE7ED4" w:rsidRPr="00323B02" w:rsidRDefault="001C5240" w:rsidP="00C6750D">
      <w:pPr>
        <w:pStyle w:val="BBClause2"/>
        <w:rPr>
          <w:rFonts w:asciiTheme="majorHAnsi" w:hAnsiTheme="majorHAnsi"/>
          <w:szCs w:val="22"/>
        </w:rPr>
      </w:pPr>
      <w:r w:rsidRPr="00323B02">
        <w:rPr>
          <w:rFonts w:asciiTheme="majorHAnsi" w:hAnsiTheme="majorHAnsi"/>
          <w:szCs w:val="22"/>
        </w:rPr>
        <w:t>The Template provides for both a maximum facility amount and conditions precedent that must be satisfied before funds can be drawn down. This structure allows for staged funding as the project progresses, with the CEG retaining control over disbursement through the drawdown request process and the ability to verify that funds are being used in accordance with the agreed budget.</w:t>
      </w:r>
    </w:p>
    <w:p w14:paraId="39836FA3" w14:textId="72E5D650" w:rsidR="00583587" w:rsidRDefault="001C5240" w:rsidP="00C6750D">
      <w:pPr>
        <w:pStyle w:val="BBClause2"/>
        <w:rPr>
          <w:rFonts w:asciiTheme="majorHAnsi" w:hAnsiTheme="majorHAnsi"/>
          <w:szCs w:val="22"/>
        </w:rPr>
      </w:pPr>
      <w:r w:rsidRPr="00323B02">
        <w:rPr>
          <w:rFonts w:asciiTheme="majorHAnsi" w:hAnsiTheme="majorHAnsi"/>
          <w:szCs w:val="22"/>
        </w:rPr>
        <w:t xml:space="preserve">The Template includes security provisions, allowing the CEG to take security over the borrower's assets </w:t>
      </w:r>
      <w:r w:rsidR="00507BE3" w:rsidRPr="00323B02">
        <w:rPr>
          <w:rFonts w:asciiTheme="majorHAnsi" w:hAnsiTheme="majorHAnsi"/>
          <w:szCs w:val="22"/>
        </w:rPr>
        <w:t xml:space="preserve">pursuant to </w:t>
      </w:r>
      <w:r w:rsidRPr="00323B02">
        <w:rPr>
          <w:rFonts w:asciiTheme="majorHAnsi" w:hAnsiTheme="majorHAnsi"/>
          <w:szCs w:val="22"/>
        </w:rPr>
        <w:t xml:space="preserve">a </w:t>
      </w:r>
      <w:r w:rsidR="00583587">
        <w:rPr>
          <w:rFonts w:asciiTheme="majorHAnsi" w:hAnsiTheme="majorHAnsi"/>
          <w:szCs w:val="22"/>
        </w:rPr>
        <w:t>D</w:t>
      </w:r>
      <w:r w:rsidRPr="00323B02">
        <w:rPr>
          <w:rFonts w:asciiTheme="majorHAnsi" w:hAnsiTheme="majorHAnsi"/>
          <w:szCs w:val="22"/>
        </w:rPr>
        <w:t xml:space="preserve">ebenture and/or </w:t>
      </w:r>
      <w:r w:rsidR="00583587">
        <w:rPr>
          <w:rFonts w:asciiTheme="majorHAnsi" w:hAnsiTheme="majorHAnsi"/>
          <w:szCs w:val="22"/>
        </w:rPr>
        <w:t xml:space="preserve">charge </w:t>
      </w:r>
      <w:r w:rsidRPr="00323B02">
        <w:rPr>
          <w:rFonts w:asciiTheme="majorHAnsi" w:hAnsiTheme="majorHAnsi"/>
          <w:szCs w:val="22"/>
        </w:rPr>
        <w:t xml:space="preserve">over the shareholder's shares in the borrower </w:t>
      </w:r>
      <w:r w:rsidR="00507BE3" w:rsidRPr="00323B02">
        <w:rPr>
          <w:rFonts w:asciiTheme="majorHAnsi" w:hAnsiTheme="majorHAnsi"/>
          <w:szCs w:val="22"/>
        </w:rPr>
        <w:t xml:space="preserve">pursuant to </w:t>
      </w:r>
      <w:r w:rsidRPr="00323B02">
        <w:rPr>
          <w:rFonts w:asciiTheme="majorHAnsi" w:hAnsiTheme="majorHAnsi"/>
          <w:szCs w:val="22"/>
        </w:rPr>
        <w:t xml:space="preserve">a </w:t>
      </w:r>
      <w:r w:rsidR="00583587">
        <w:rPr>
          <w:rFonts w:asciiTheme="majorHAnsi" w:hAnsiTheme="majorHAnsi"/>
          <w:szCs w:val="22"/>
        </w:rPr>
        <w:t>Share C</w:t>
      </w:r>
      <w:r w:rsidRPr="00323B02">
        <w:rPr>
          <w:rFonts w:asciiTheme="majorHAnsi" w:hAnsiTheme="majorHAnsi"/>
          <w:szCs w:val="22"/>
        </w:rPr>
        <w:t xml:space="preserve">harge </w:t>
      </w:r>
      <w:r w:rsidR="00D724DB" w:rsidRPr="00323B02">
        <w:rPr>
          <w:rFonts w:asciiTheme="majorHAnsi" w:hAnsiTheme="majorHAnsi"/>
          <w:szCs w:val="22"/>
        </w:rPr>
        <w:t>(see the separate guidance on the template Debenture and template Share Charge)</w:t>
      </w:r>
      <w:r w:rsidRPr="00323B02">
        <w:rPr>
          <w:rFonts w:asciiTheme="majorHAnsi" w:hAnsiTheme="majorHAnsi"/>
          <w:szCs w:val="22"/>
        </w:rPr>
        <w:t xml:space="preserve">. </w:t>
      </w:r>
      <w:r w:rsidR="0034167D" w:rsidRPr="0034167D">
        <w:rPr>
          <w:rFonts w:asciiTheme="majorHAnsi" w:hAnsiTheme="majorHAnsi"/>
          <w:szCs w:val="22"/>
        </w:rPr>
        <w:t>Any Debenture or Share Charge, together with any relevant subordination deed (see glossary), are essential components of the financing structure that</w:t>
      </w:r>
      <w:r w:rsidR="0034167D">
        <w:rPr>
          <w:rFonts w:asciiTheme="majorHAnsi" w:hAnsiTheme="majorHAnsi"/>
          <w:szCs w:val="22"/>
        </w:rPr>
        <w:t xml:space="preserve"> helps to</w:t>
      </w:r>
      <w:r w:rsidR="0034167D" w:rsidRPr="0034167D">
        <w:rPr>
          <w:rFonts w:asciiTheme="majorHAnsi" w:hAnsiTheme="majorHAnsi"/>
          <w:szCs w:val="22"/>
        </w:rPr>
        <w:t xml:space="preserve"> protect the Lender's position</w:t>
      </w:r>
      <w:r w:rsidR="006F2045">
        <w:rPr>
          <w:rFonts w:asciiTheme="majorHAnsi" w:hAnsiTheme="majorHAnsi"/>
          <w:szCs w:val="22"/>
        </w:rPr>
        <w:t>.</w:t>
      </w:r>
    </w:p>
    <w:p w14:paraId="1928C4AB" w14:textId="5CF4E1B3" w:rsidR="00D5730D" w:rsidRDefault="00507BE3" w:rsidP="00C6750D">
      <w:pPr>
        <w:pStyle w:val="BBClause2"/>
        <w:rPr>
          <w:rFonts w:asciiTheme="majorHAnsi" w:hAnsiTheme="majorHAnsi"/>
          <w:szCs w:val="22"/>
        </w:rPr>
      </w:pPr>
      <w:r w:rsidRPr="00583587">
        <w:rPr>
          <w:rFonts w:asciiTheme="majorHAnsi" w:hAnsiTheme="majorHAnsi"/>
          <w:szCs w:val="22"/>
        </w:rPr>
        <w:t>Provided that there is some value in the assets the subject of the security,</w:t>
      </w:r>
      <w:r w:rsidR="00033740" w:rsidRPr="00583587">
        <w:rPr>
          <w:rFonts w:asciiTheme="majorHAnsi" w:hAnsiTheme="majorHAnsi"/>
          <w:szCs w:val="22"/>
        </w:rPr>
        <w:t xml:space="preserve"> such security has been properly perfected (including by registration at each relevant registry and notice of the security provided to any relevant third party) and is not at risk of being set aside by a court in any insolvency proceedings relating to the borrower</w:t>
      </w:r>
      <w:r w:rsidRPr="00583587">
        <w:rPr>
          <w:rFonts w:asciiTheme="majorHAnsi" w:hAnsiTheme="majorHAnsi"/>
          <w:szCs w:val="22"/>
        </w:rPr>
        <w:t xml:space="preserve"> t</w:t>
      </w:r>
      <w:r w:rsidR="001C5240" w:rsidRPr="00583587">
        <w:rPr>
          <w:rFonts w:asciiTheme="majorHAnsi" w:hAnsiTheme="majorHAnsi"/>
          <w:szCs w:val="22"/>
        </w:rPr>
        <w:t xml:space="preserve">his provides the CEG with </w:t>
      </w:r>
      <w:r w:rsidRPr="00583587">
        <w:rPr>
          <w:rFonts w:asciiTheme="majorHAnsi" w:hAnsiTheme="majorHAnsi"/>
          <w:szCs w:val="22"/>
        </w:rPr>
        <w:t xml:space="preserve">recourse </w:t>
      </w:r>
      <w:r w:rsidR="001C5240" w:rsidRPr="00583587">
        <w:rPr>
          <w:rFonts w:asciiTheme="majorHAnsi" w:hAnsiTheme="majorHAnsi"/>
          <w:szCs w:val="22"/>
        </w:rPr>
        <w:t xml:space="preserve">for its loan investment and priority </w:t>
      </w:r>
      <w:r w:rsidRPr="00583587">
        <w:rPr>
          <w:rFonts w:asciiTheme="majorHAnsi" w:hAnsiTheme="majorHAnsi"/>
          <w:szCs w:val="22"/>
        </w:rPr>
        <w:t xml:space="preserve">against other, unsecured creditors (other than creditors mandatorily preferred by law) </w:t>
      </w:r>
      <w:r w:rsidR="001C5240" w:rsidRPr="00583587">
        <w:rPr>
          <w:rFonts w:asciiTheme="majorHAnsi" w:hAnsiTheme="majorHAnsi"/>
          <w:szCs w:val="22"/>
        </w:rPr>
        <w:t xml:space="preserve">in the event of insolvency or </w:t>
      </w:r>
      <w:r w:rsidRPr="00583587">
        <w:rPr>
          <w:rFonts w:asciiTheme="majorHAnsi" w:hAnsiTheme="majorHAnsi"/>
          <w:szCs w:val="22"/>
        </w:rPr>
        <w:t xml:space="preserve">other </w:t>
      </w:r>
      <w:r w:rsidR="001C5240" w:rsidRPr="00583587">
        <w:rPr>
          <w:rFonts w:asciiTheme="majorHAnsi" w:hAnsiTheme="majorHAnsi"/>
          <w:szCs w:val="22"/>
        </w:rPr>
        <w:t>default</w:t>
      </w:r>
      <w:r w:rsidRPr="00583587">
        <w:rPr>
          <w:rFonts w:asciiTheme="majorHAnsi" w:hAnsiTheme="majorHAnsi"/>
          <w:szCs w:val="22"/>
        </w:rPr>
        <w:t xml:space="preserve"> of the borrower</w:t>
      </w:r>
      <w:r w:rsidR="001C5240" w:rsidRPr="00583587">
        <w:rPr>
          <w:rFonts w:asciiTheme="majorHAnsi" w:hAnsiTheme="majorHAnsi"/>
          <w:szCs w:val="22"/>
        </w:rPr>
        <w:t>.</w:t>
      </w:r>
    </w:p>
    <w:p w14:paraId="0AF984A2" w14:textId="77777777" w:rsidR="00357960" w:rsidRPr="00323B02" w:rsidRDefault="00357960" w:rsidP="00357960">
      <w:pPr>
        <w:jc w:val="both"/>
        <w:rPr>
          <w:rFonts w:asciiTheme="majorHAnsi" w:hAnsiTheme="majorHAnsi"/>
          <w:b/>
          <w:bCs/>
          <w:i/>
          <w:iCs/>
          <w:sz w:val="22"/>
          <w:szCs w:val="22"/>
        </w:rPr>
      </w:pPr>
      <w:bookmarkStart w:id="2" w:name="_Hlk222489412"/>
      <w:r w:rsidRPr="00323B02">
        <w:rPr>
          <w:rFonts w:asciiTheme="majorHAnsi" w:hAnsiTheme="majorHAnsi"/>
          <w:b/>
          <w:bCs/>
          <w:i/>
          <w:iCs/>
          <w:sz w:val="22"/>
          <w:szCs w:val="22"/>
        </w:rPr>
        <w:t xml:space="preserve">NOTE FOR USERS OF THIS GUIDANCE DOCUMENT:  </w:t>
      </w:r>
    </w:p>
    <w:p w14:paraId="0FDB7190" w14:textId="2161DFC2" w:rsidR="00A954AB" w:rsidRPr="00323B02" w:rsidRDefault="00357960" w:rsidP="00357960">
      <w:pPr>
        <w:rPr>
          <w:rFonts w:asciiTheme="majorHAnsi" w:hAnsiTheme="majorHAnsi"/>
          <w:i/>
          <w:iCs/>
          <w:sz w:val="22"/>
          <w:szCs w:val="22"/>
        </w:rPr>
      </w:pPr>
      <w:r w:rsidRPr="00323B02">
        <w:rPr>
          <w:rFonts w:asciiTheme="majorHAnsi" w:hAnsiTheme="majorHAnsi"/>
          <w:i/>
          <w:iCs/>
          <w:sz w:val="22"/>
          <w:szCs w:val="22"/>
        </w:rPr>
        <w:t xml:space="preserve">This guidance document has been developed for use by Community Energy SO projects only. It is intended to provide a useful starting point for conducting your Community Energy SO Project but is guidance only. This guidance does not promote the use of any particular shared ownership model. You will need to review and develop it in conjunction with your legal, financial, technical and procurement advisors to reflect your requirements and the circumstances of your project.  Although we have taken care in the production of this guidance document, you cannot rely on it as legal advice and no warranty, express or implied, is given as to its accuracy nor does [Bird &amp; Bird] accept any liability for any error or omission.  You must take your own independent legal advice in relation to the development of appropriate documents for your project.  </w:t>
      </w:r>
      <w:bookmarkEnd w:id="2"/>
      <w:r w:rsidR="00A954AB" w:rsidRPr="00323B02">
        <w:rPr>
          <w:rFonts w:asciiTheme="majorHAnsi" w:hAnsiTheme="majorHAnsi"/>
          <w:i/>
          <w:iCs/>
          <w:sz w:val="22"/>
          <w:szCs w:val="22"/>
        </w:rPr>
        <w:br w:type="page"/>
      </w:r>
    </w:p>
    <w:p w14:paraId="09ACD2F6" w14:textId="77777777" w:rsidR="00A954AB" w:rsidRPr="00323B02" w:rsidRDefault="00A954AB" w:rsidP="0002312C">
      <w:pPr>
        <w:pStyle w:val="BBClause2"/>
        <w:rPr>
          <w:rFonts w:asciiTheme="majorHAnsi" w:hAnsiTheme="majorHAnsi"/>
          <w:szCs w:val="22"/>
        </w:rPr>
      </w:pPr>
    </w:p>
    <w:p w14:paraId="2A04F5A6" w14:textId="24738A8B" w:rsidR="009F5866" w:rsidRPr="00323B02" w:rsidRDefault="009F5866" w:rsidP="003C4CA6">
      <w:pPr>
        <w:pStyle w:val="BBHeading1Lower"/>
        <w:numPr>
          <w:ilvl w:val="0"/>
          <w:numId w:val="8"/>
        </w:numPr>
        <w:rPr>
          <w:rFonts w:asciiTheme="majorHAnsi" w:hAnsiTheme="majorHAnsi"/>
          <w:szCs w:val="22"/>
        </w:rPr>
      </w:pPr>
      <w:bookmarkStart w:id="3" w:name="_Toc217320669"/>
      <w:bookmarkStart w:id="4" w:name="_Toc217320670"/>
      <w:bookmarkStart w:id="5" w:name="_Toc225518679"/>
      <w:bookmarkEnd w:id="3"/>
      <w:bookmarkEnd w:id="4"/>
      <w:r w:rsidRPr="00323B02">
        <w:rPr>
          <w:rFonts w:asciiTheme="majorHAnsi" w:hAnsiTheme="majorHAnsi"/>
          <w:szCs w:val="22"/>
        </w:rPr>
        <w:t xml:space="preserve">Use of </w:t>
      </w:r>
      <w:r w:rsidR="00615A5E" w:rsidRPr="00323B02">
        <w:rPr>
          <w:rFonts w:asciiTheme="majorHAnsi" w:hAnsiTheme="majorHAnsi"/>
          <w:szCs w:val="22"/>
        </w:rPr>
        <w:t>Template and this Guidance</w:t>
      </w:r>
      <w:bookmarkEnd w:id="5"/>
      <w:r w:rsidR="00282EBC" w:rsidRPr="00323B02">
        <w:rPr>
          <w:rFonts w:asciiTheme="majorHAnsi" w:hAnsiTheme="majorHAnsi"/>
          <w:szCs w:val="22"/>
        </w:rPr>
        <w:t xml:space="preserve"> </w:t>
      </w:r>
    </w:p>
    <w:p w14:paraId="7EB65FD0" w14:textId="10F61BED" w:rsidR="00C6750D" w:rsidRPr="00323B02" w:rsidRDefault="00583587" w:rsidP="00C6750D">
      <w:pPr>
        <w:pStyle w:val="BBClause2"/>
        <w:rPr>
          <w:rFonts w:asciiTheme="majorHAnsi" w:hAnsiTheme="majorHAnsi"/>
          <w:szCs w:val="22"/>
        </w:rPr>
      </w:pPr>
      <w:r w:rsidRPr="00583587">
        <w:rPr>
          <w:rFonts w:asciiTheme="majorHAnsi" w:hAnsiTheme="majorHAnsi"/>
          <w:szCs w:val="22"/>
        </w:rPr>
        <w:t>Capitalised terms not defined in this guidance have the meaning given to them in clause 1 (Definitions and Interpretation) of the Template</w:t>
      </w:r>
      <w:r w:rsidR="00C6750D" w:rsidRPr="00323B02">
        <w:rPr>
          <w:rFonts w:asciiTheme="majorHAnsi" w:hAnsiTheme="majorHAnsi"/>
          <w:szCs w:val="22"/>
        </w:rPr>
        <w:t xml:space="preserve">. See also the </w:t>
      </w:r>
      <w:r>
        <w:rPr>
          <w:rFonts w:asciiTheme="majorHAnsi" w:hAnsiTheme="majorHAnsi"/>
          <w:szCs w:val="22"/>
        </w:rPr>
        <w:t>G</w:t>
      </w:r>
      <w:r w:rsidR="00C6750D" w:rsidRPr="00323B02">
        <w:rPr>
          <w:rFonts w:asciiTheme="majorHAnsi" w:hAnsiTheme="majorHAnsi"/>
          <w:szCs w:val="22"/>
        </w:rPr>
        <w:t xml:space="preserve">lossary </w:t>
      </w:r>
      <w:r>
        <w:rPr>
          <w:rFonts w:asciiTheme="majorHAnsi" w:hAnsiTheme="majorHAnsi"/>
          <w:szCs w:val="22"/>
        </w:rPr>
        <w:t>below</w:t>
      </w:r>
      <w:r w:rsidR="00C6750D" w:rsidRPr="00323B02">
        <w:rPr>
          <w:rFonts w:asciiTheme="majorHAnsi" w:hAnsiTheme="majorHAnsi"/>
          <w:szCs w:val="22"/>
        </w:rPr>
        <w:t xml:space="preserve"> to aid in your understanding of some of the key terms and abbreviations used in this guidance.</w:t>
      </w:r>
    </w:p>
    <w:p w14:paraId="3586A58D" w14:textId="77777777" w:rsidR="00C6750D" w:rsidRPr="00323B02" w:rsidRDefault="00C6750D" w:rsidP="00C6750D">
      <w:pPr>
        <w:pStyle w:val="BBClause2"/>
        <w:rPr>
          <w:rFonts w:asciiTheme="majorHAnsi" w:hAnsiTheme="majorHAnsi"/>
          <w:szCs w:val="22"/>
        </w:rPr>
      </w:pPr>
      <w:r w:rsidRPr="00323B02">
        <w:rPr>
          <w:rFonts w:asciiTheme="majorHAnsi" w:hAnsiTheme="majorHAnsi"/>
          <w:szCs w:val="22"/>
        </w:rPr>
        <w:t>This guidance note provides a clause-by-clause commentary on the provisions contained within the Template.</w:t>
      </w:r>
    </w:p>
    <w:p w14:paraId="0989D6C9" w14:textId="77777777" w:rsidR="00C6750D" w:rsidRPr="00323B02" w:rsidRDefault="00C6750D" w:rsidP="00C6750D">
      <w:pPr>
        <w:pStyle w:val="BBClause2"/>
        <w:rPr>
          <w:rFonts w:asciiTheme="majorHAnsi" w:hAnsiTheme="majorHAnsi"/>
          <w:szCs w:val="22"/>
        </w:rPr>
      </w:pPr>
      <w:r w:rsidRPr="00323B02">
        <w:rPr>
          <w:rFonts w:asciiTheme="majorHAnsi" w:hAnsiTheme="majorHAnsi"/>
          <w:szCs w:val="22"/>
        </w:rPr>
        <w:t>The Template has been prepared on the basis that certain details will need to be inserted on a project-specific basis (and these areas are marked for specific attention with a [  ]).</w:t>
      </w:r>
    </w:p>
    <w:p w14:paraId="08019837" w14:textId="64CE076E" w:rsidR="00C6750D" w:rsidRPr="00323B02" w:rsidRDefault="00C6750D" w:rsidP="00C6750D">
      <w:pPr>
        <w:pStyle w:val="BBClause2"/>
        <w:rPr>
          <w:rFonts w:asciiTheme="majorHAnsi" w:hAnsiTheme="majorHAnsi"/>
          <w:szCs w:val="22"/>
        </w:rPr>
      </w:pPr>
      <w:r w:rsidRPr="00323B02">
        <w:rPr>
          <w:rFonts w:asciiTheme="majorHAnsi" w:hAnsiTheme="majorHAnsi"/>
          <w:szCs w:val="22"/>
        </w:rPr>
        <w:t>The Template may also need to be amended in various ways to take into account the specifics of particular arrangements agreed between the CEG and the Developer. This includes where there is optionality between certain clauses, where the applicable clause to be used for a given Shared Revenue Shared Ownership Project will depend on the specifics of the particular arrangement agreed. Optionality is marked with [  ] around the relevant clauses and explained in the clause-by-clause commentary below.</w:t>
      </w:r>
    </w:p>
    <w:p w14:paraId="7BBE6D77" w14:textId="4F2D41EE" w:rsidR="00D5730D" w:rsidRPr="00583587" w:rsidRDefault="00C6750D" w:rsidP="00C6750D">
      <w:pPr>
        <w:pStyle w:val="BBClause2"/>
        <w:rPr>
          <w:szCs w:val="22"/>
        </w:rPr>
      </w:pPr>
      <w:r w:rsidRPr="00323B02">
        <w:rPr>
          <w:rFonts w:asciiTheme="majorHAnsi" w:hAnsiTheme="majorHAnsi"/>
          <w:szCs w:val="22"/>
        </w:rPr>
        <w:t xml:space="preserve">The Template should be read in conjunction with </w:t>
      </w:r>
      <w:r w:rsidR="001D6EDD" w:rsidRPr="00323B02">
        <w:rPr>
          <w:rFonts w:asciiTheme="majorHAnsi" w:hAnsiTheme="majorHAnsi"/>
          <w:szCs w:val="22"/>
        </w:rPr>
        <w:t>any relevant agreements (e.g. a Revenue Sharing Agreement) and any</w:t>
      </w:r>
      <w:r w:rsidRPr="00323B02">
        <w:rPr>
          <w:rFonts w:asciiTheme="majorHAnsi" w:hAnsiTheme="majorHAnsi"/>
          <w:szCs w:val="22"/>
        </w:rPr>
        <w:t xml:space="preserve"> Project Documents. The interplay between these documents is important, particularly in relation to funding obligations, default provisions, and the relationship between loan repayment and revenue sharing arrangements. Care should be taken to ensure consistency between the documents and to avoid conflicts that could create uncertainty or disputes.</w:t>
      </w:r>
    </w:p>
    <w:p w14:paraId="17294057" w14:textId="77777777" w:rsidR="00915902" w:rsidRDefault="00915902" w:rsidP="00583587">
      <w:pPr>
        <w:pStyle w:val="BBHeading1Lower"/>
        <w:jc w:val="left"/>
        <w:rPr>
          <w:rFonts w:asciiTheme="majorHAnsi" w:hAnsiTheme="majorHAnsi"/>
          <w:szCs w:val="22"/>
        </w:rPr>
      </w:pPr>
      <w:bookmarkStart w:id="6" w:name="_Toc225518680"/>
      <w:r w:rsidRPr="00323B02">
        <w:rPr>
          <w:rFonts w:asciiTheme="majorHAnsi" w:hAnsiTheme="majorHAnsi"/>
          <w:szCs w:val="22"/>
        </w:rPr>
        <w:t>Glossary of Key Terms and Abbreviations</w:t>
      </w:r>
      <w:bookmarkEnd w:id="6"/>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9"/>
        <w:gridCol w:w="5103"/>
      </w:tblGrid>
      <w:tr w:rsidR="00915902" w:rsidRPr="00D04203" w14:paraId="4386BEA0" w14:textId="77777777" w:rsidTr="00D47881">
        <w:trPr>
          <w:trHeight w:val="223"/>
          <w:tblHeader/>
        </w:trPr>
        <w:tc>
          <w:tcPr>
            <w:tcW w:w="3969" w:type="dxa"/>
            <w:vAlign w:val="center"/>
          </w:tcPr>
          <w:p w14:paraId="24961642" w14:textId="77777777" w:rsidR="00915902" w:rsidRPr="00F74A15" w:rsidRDefault="00915902" w:rsidP="00000971">
            <w:pPr>
              <w:pStyle w:val="BBClause2"/>
              <w:jc w:val="left"/>
              <w:rPr>
                <w:b/>
              </w:rPr>
            </w:pPr>
            <w:r w:rsidRPr="00F74A15">
              <w:rPr>
                <w:b/>
              </w:rPr>
              <w:t>Term</w:t>
            </w:r>
          </w:p>
        </w:tc>
        <w:tc>
          <w:tcPr>
            <w:tcW w:w="5103" w:type="dxa"/>
            <w:vAlign w:val="center"/>
          </w:tcPr>
          <w:p w14:paraId="2CE0B4D9" w14:textId="77777777" w:rsidR="00915902" w:rsidRPr="00F74A15" w:rsidRDefault="00915902" w:rsidP="00000971">
            <w:pPr>
              <w:pStyle w:val="BBClause2"/>
              <w:rPr>
                <w:b/>
              </w:rPr>
            </w:pPr>
            <w:r w:rsidRPr="00F74A15">
              <w:rPr>
                <w:b/>
              </w:rPr>
              <w:t>Definition</w:t>
            </w:r>
          </w:p>
        </w:tc>
      </w:tr>
      <w:tr w:rsidR="00915902" w:rsidRPr="00D04203" w14:paraId="41907E03" w14:textId="77777777" w:rsidTr="00D47881">
        <w:trPr>
          <w:trHeight w:val="1279"/>
        </w:trPr>
        <w:tc>
          <w:tcPr>
            <w:tcW w:w="3969" w:type="dxa"/>
            <w:vAlign w:val="center"/>
          </w:tcPr>
          <w:p w14:paraId="234BD924" w14:textId="77777777" w:rsidR="00915902" w:rsidRPr="00D04203" w:rsidRDefault="00915902" w:rsidP="00000971">
            <w:pPr>
              <w:pStyle w:val="BBClause2"/>
              <w:jc w:val="left"/>
              <w:rPr>
                <w:b/>
                <w:bCs/>
              </w:rPr>
            </w:pPr>
            <w:r w:rsidRPr="00D04203">
              <w:rPr>
                <w:b/>
                <w:bCs/>
              </w:rPr>
              <w:t>Availability Period</w:t>
            </w:r>
          </w:p>
        </w:tc>
        <w:tc>
          <w:tcPr>
            <w:tcW w:w="5103" w:type="dxa"/>
            <w:vAlign w:val="center"/>
          </w:tcPr>
          <w:p w14:paraId="2FD60BD4" w14:textId="4C9A0214" w:rsidR="00915902" w:rsidRPr="00D04203" w:rsidRDefault="00915902" w:rsidP="00000971">
            <w:pPr>
              <w:pStyle w:val="BBClause2"/>
              <w:spacing w:after="0"/>
            </w:pPr>
            <w:r w:rsidRPr="004D3F89">
              <w:t>The period during which the Borrower is entitled to submit a Drawdown Request and draw down funds under the Facility, after which any undrawn amounts shall be cancelled.</w:t>
            </w:r>
          </w:p>
        </w:tc>
      </w:tr>
      <w:tr w:rsidR="00915902" w:rsidRPr="00D04203" w14:paraId="448E20BB" w14:textId="77777777" w:rsidTr="00D47881">
        <w:tc>
          <w:tcPr>
            <w:tcW w:w="3969" w:type="dxa"/>
            <w:vAlign w:val="center"/>
          </w:tcPr>
          <w:p w14:paraId="06C2BFAC" w14:textId="77777777" w:rsidR="00915902" w:rsidRPr="00D04203" w:rsidRDefault="00915902" w:rsidP="00000971">
            <w:pPr>
              <w:pStyle w:val="BBClause2"/>
              <w:jc w:val="left"/>
              <w:rPr>
                <w:b/>
                <w:bCs/>
              </w:rPr>
            </w:pPr>
            <w:r>
              <w:rPr>
                <w:b/>
                <w:bCs/>
              </w:rPr>
              <w:t>Borrower</w:t>
            </w:r>
          </w:p>
        </w:tc>
        <w:tc>
          <w:tcPr>
            <w:tcW w:w="5103" w:type="dxa"/>
            <w:vAlign w:val="center"/>
          </w:tcPr>
          <w:p w14:paraId="783FD9A9" w14:textId="603BA2DB" w:rsidR="00915902" w:rsidRPr="004D3F89" w:rsidRDefault="00915902" w:rsidP="00000971">
            <w:pPr>
              <w:pStyle w:val="BBClause2"/>
            </w:pPr>
            <w:r>
              <w:t>The Developer's (special purpose vehicle) SPV who is borrowing funds from the CEG (by way of loan)</w:t>
            </w:r>
            <w:r w:rsidR="00A27113">
              <w:t>.</w:t>
            </w:r>
          </w:p>
        </w:tc>
      </w:tr>
      <w:tr w:rsidR="00915902" w:rsidRPr="00D04203" w14:paraId="61067D14" w14:textId="77777777" w:rsidTr="00D47881">
        <w:tc>
          <w:tcPr>
            <w:tcW w:w="3969" w:type="dxa"/>
            <w:vAlign w:val="center"/>
          </w:tcPr>
          <w:p w14:paraId="1B8A74FC" w14:textId="77777777" w:rsidR="00915902" w:rsidRPr="00D04203" w:rsidRDefault="00915902" w:rsidP="00000971">
            <w:pPr>
              <w:pStyle w:val="BBClause2"/>
              <w:jc w:val="left"/>
              <w:rPr>
                <w:b/>
                <w:bCs/>
              </w:rPr>
            </w:pPr>
            <w:r w:rsidRPr="00D04203">
              <w:rPr>
                <w:b/>
                <w:bCs/>
              </w:rPr>
              <w:t>CEG (Community Energy Group)</w:t>
            </w:r>
          </w:p>
        </w:tc>
        <w:tc>
          <w:tcPr>
            <w:tcW w:w="5103" w:type="dxa"/>
            <w:vAlign w:val="center"/>
          </w:tcPr>
          <w:p w14:paraId="29B6B33A" w14:textId="77777777" w:rsidR="00915902" w:rsidRPr="00D04203" w:rsidRDefault="00915902" w:rsidP="00000971">
            <w:pPr>
              <w:pStyle w:val="BBClause2"/>
            </w:pPr>
            <w:r w:rsidRPr="00D04203">
              <w:t xml:space="preserve">The community energy group, who is party to the Facility Agreement as </w:t>
            </w:r>
            <w:r>
              <w:t>L</w:t>
            </w:r>
            <w:r w:rsidRPr="00D04203">
              <w:t>ender.</w:t>
            </w:r>
          </w:p>
        </w:tc>
      </w:tr>
      <w:tr w:rsidR="00915902" w:rsidRPr="00D04203" w14:paraId="777804C7" w14:textId="77777777" w:rsidTr="00D47881">
        <w:tc>
          <w:tcPr>
            <w:tcW w:w="3969" w:type="dxa"/>
            <w:vAlign w:val="center"/>
          </w:tcPr>
          <w:p w14:paraId="50F94D45" w14:textId="77777777" w:rsidR="00915902" w:rsidRPr="00D04203" w:rsidRDefault="00915902" w:rsidP="00000971">
            <w:pPr>
              <w:pStyle w:val="BBClause2"/>
              <w:jc w:val="left"/>
              <w:rPr>
                <w:b/>
                <w:bCs/>
              </w:rPr>
            </w:pPr>
            <w:r w:rsidRPr="00D04203">
              <w:rPr>
                <w:b/>
                <w:bCs/>
              </w:rPr>
              <w:t>Change of Control</w:t>
            </w:r>
          </w:p>
        </w:tc>
        <w:tc>
          <w:tcPr>
            <w:tcW w:w="5103" w:type="dxa"/>
            <w:vAlign w:val="center"/>
          </w:tcPr>
          <w:p w14:paraId="07162437" w14:textId="075A6CC5" w:rsidR="00915902" w:rsidRPr="00D04203" w:rsidRDefault="00915902" w:rsidP="00000971">
            <w:pPr>
              <w:pStyle w:val="BBClause2"/>
            </w:pPr>
            <w:r w:rsidRPr="0089195C">
              <w:t>An event occurring when a person or group of persons acting in concert acquires or comes to hold, directly or indirectly, a controlling interest in the Borrower or its ultimate parent, or where the composition of the Borrower's board or governing body changes such that those who controlled it prior to the relevant event no longer do so, which may constitute an event of default or require lender consent under the Facility Agreement</w:t>
            </w:r>
            <w:r w:rsidR="006F2045">
              <w:t>.</w:t>
            </w:r>
          </w:p>
        </w:tc>
      </w:tr>
      <w:tr w:rsidR="00915902" w:rsidRPr="00EC76A4" w14:paraId="4D8BCCEE" w14:textId="77777777" w:rsidTr="00D47881">
        <w:tc>
          <w:tcPr>
            <w:tcW w:w="3969" w:type="dxa"/>
            <w:vAlign w:val="center"/>
          </w:tcPr>
          <w:p w14:paraId="525C4C57" w14:textId="77777777" w:rsidR="00915902" w:rsidRPr="00EC76A4" w:rsidRDefault="00915902" w:rsidP="00000971">
            <w:pPr>
              <w:pStyle w:val="BBClause2"/>
              <w:jc w:val="left"/>
              <w:rPr>
                <w:b/>
                <w:bCs/>
              </w:rPr>
            </w:pPr>
            <w:r w:rsidRPr="00EC76A4">
              <w:rPr>
                <w:b/>
                <w:bCs/>
              </w:rPr>
              <w:t>Conditions Precedent</w:t>
            </w:r>
          </w:p>
        </w:tc>
        <w:tc>
          <w:tcPr>
            <w:tcW w:w="5103" w:type="dxa"/>
            <w:vAlign w:val="center"/>
          </w:tcPr>
          <w:p w14:paraId="39E97DCC" w14:textId="77777777" w:rsidR="00915902" w:rsidRPr="00EC76A4" w:rsidRDefault="00915902" w:rsidP="00000971">
            <w:pPr>
              <w:pStyle w:val="BBClause2"/>
            </w:pPr>
            <w:r w:rsidRPr="0089195C">
              <w:t xml:space="preserve">The conditions that must be satisfied before the Borrower is entitled to make a Drawdown Request or before the CEG is obliged to advance funds </w:t>
            </w:r>
            <w:r w:rsidRPr="0089195C">
              <w:lastRenderedPageBreak/>
              <w:t>under the Facility, including delivery of constitutional documents, legal opinions, security documents, and any other documents or evidence specified in the Facility Agreement.</w:t>
            </w:r>
          </w:p>
        </w:tc>
      </w:tr>
      <w:tr w:rsidR="00915902" w:rsidRPr="00EC76A4" w14:paraId="1FA9B6A7" w14:textId="77777777" w:rsidTr="00D47881">
        <w:tc>
          <w:tcPr>
            <w:tcW w:w="3969" w:type="dxa"/>
            <w:vAlign w:val="center"/>
          </w:tcPr>
          <w:p w14:paraId="0741ADCA" w14:textId="77777777" w:rsidR="00915902" w:rsidRPr="00EC76A4" w:rsidRDefault="00915902" w:rsidP="00000971">
            <w:pPr>
              <w:pStyle w:val="BBClause2"/>
              <w:jc w:val="left"/>
              <w:rPr>
                <w:b/>
                <w:bCs/>
              </w:rPr>
            </w:pPr>
            <w:r w:rsidRPr="00EC76A4">
              <w:rPr>
                <w:b/>
                <w:bCs/>
              </w:rPr>
              <w:lastRenderedPageBreak/>
              <w:t>Debenture</w:t>
            </w:r>
          </w:p>
        </w:tc>
        <w:tc>
          <w:tcPr>
            <w:tcW w:w="5103" w:type="dxa"/>
            <w:vAlign w:val="center"/>
          </w:tcPr>
          <w:p w14:paraId="7DB4E45D" w14:textId="16A264FE" w:rsidR="00915902" w:rsidRPr="00EC76A4" w:rsidRDefault="00A27113" w:rsidP="00000971">
            <w:pPr>
              <w:pStyle w:val="BBClause2"/>
            </w:pPr>
            <w:r>
              <w:t>The deed</w:t>
            </w:r>
            <w:r w:rsidR="00915902" w:rsidRPr="0089195C">
              <w:t xml:space="preserve"> creating fixed and floating charges over all or substantially all of the Borrower's assets, including its interest in the Project, as security for the repayment of all sums due under</w:t>
            </w:r>
            <w:r w:rsidR="00F175DE">
              <w:t xml:space="preserve"> or in connection with</w:t>
            </w:r>
            <w:r w:rsidR="00915902" w:rsidRPr="0089195C">
              <w:t xml:space="preserve"> the Facility Agreement.</w:t>
            </w:r>
          </w:p>
        </w:tc>
      </w:tr>
      <w:tr w:rsidR="00915902" w:rsidRPr="00EC76A4" w14:paraId="1E595D58" w14:textId="77777777" w:rsidTr="00D47881">
        <w:tc>
          <w:tcPr>
            <w:tcW w:w="3969" w:type="dxa"/>
            <w:vAlign w:val="center"/>
          </w:tcPr>
          <w:p w14:paraId="4CD0E9AD" w14:textId="77777777" w:rsidR="00915902" w:rsidRPr="00EC76A4" w:rsidRDefault="00915902" w:rsidP="00000971">
            <w:pPr>
              <w:pStyle w:val="BBClause2"/>
              <w:jc w:val="left"/>
              <w:rPr>
                <w:b/>
                <w:bCs/>
              </w:rPr>
            </w:pPr>
            <w:r>
              <w:rPr>
                <w:b/>
                <w:bCs/>
              </w:rPr>
              <w:t>Developer</w:t>
            </w:r>
          </w:p>
        </w:tc>
        <w:tc>
          <w:tcPr>
            <w:tcW w:w="5103" w:type="dxa"/>
            <w:vAlign w:val="center"/>
          </w:tcPr>
          <w:p w14:paraId="05A176DB" w14:textId="3E3CC681" w:rsidR="00915902" w:rsidRPr="0089195C" w:rsidRDefault="00915902" w:rsidP="00000971">
            <w:pPr>
              <w:pStyle w:val="BBClause2"/>
            </w:pPr>
            <w:r w:rsidRPr="00A3565F">
              <w:t xml:space="preserve">The commercial operator, engaged in the development, construction and/or operation of </w:t>
            </w:r>
            <w:r>
              <w:t xml:space="preserve">the </w:t>
            </w:r>
            <w:r w:rsidRPr="00A3565F">
              <w:t>renewable energy project</w:t>
            </w:r>
            <w:r w:rsidR="00F175DE">
              <w:t>(</w:t>
            </w:r>
            <w:r w:rsidRPr="00A3565F">
              <w:t>s</w:t>
            </w:r>
            <w:r w:rsidR="00F175DE">
              <w:t>)</w:t>
            </w:r>
            <w:r>
              <w:t>.</w:t>
            </w:r>
          </w:p>
        </w:tc>
      </w:tr>
      <w:tr w:rsidR="00915902" w:rsidRPr="00EC76A4" w14:paraId="550E635D" w14:textId="77777777" w:rsidTr="00D47881">
        <w:tc>
          <w:tcPr>
            <w:tcW w:w="3969" w:type="dxa"/>
            <w:vAlign w:val="center"/>
          </w:tcPr>
          <w:p w14:paraId="655EABC5" w14:textId="77777777" w:rsidR="00915902" w:rsidRPr="00EC76A4" w:rsidRDefault="00915902" w:rsidP="00000971">
            <w:pPr>
              <w:pStyle w:val="BBClause2"/>
              <w:jc w:val="left"/>
              <w:rPr>
                <w:b/>
                <w:bCs/>
              </w:rPr>
            </w:pPr>
            <w:r w:rsidRPr="00EC76A4">
              <w:rPr>
                <w:b/>
                <w:bCs/>
              </w:rPr>
              <w:t>Drawdown Request</w:t>
            </w:r>
          </w:p>
        </w:tc>
        <w:tc>
          <w:tcPr>
            <w:tcW w:w="5103" w:type="dxa"/>
            <w:vAlign w:val="center"/>
          </w:tcPr>
          <w:p w14:paraId="7BF0843F" w14:textId="77777777" w:rsidR="00915902" w:rsidRPr="00EC76A4" w:rsidRDefault="00915902" w:rsidP="00000971">
            <w:pPr>
              <w:pStyle w:val="BBClause2"/>
            </w:pPr>
            <w:r w:rsidRPr="0089195C">
              <w:t>A written request submitted by the Borrower to the CEG in the form prescribed by the Facility Agreement, specifying the amount to be drawn down, the proposed drawdown date, and such other information as the CEG may require, confirming that all Conditions Precedent have been satisfied and no event of default is continuing.</w:t>
            </w:r>
          </w:p>
        </w:tc>
      </w:tr>
      <w:tr w:rsidR="00915902" w:rsidRPr="00EC76A4" w14:paraId="5888F862" w14:textId="77777777" w:rsidTr="00D47881">
        <w:tc>
          <w:tcPr>
            <w:tcW w:w="3969" w:type="dxa"/>
            <w:vAlign w:val="center"/>
          </w:tcPr>
          <w:p w14:paraId="2406D801" w14:textId="77777777" w:rsidR="00915902" w:rsidRPr="00EC76A4" w:rsidRDefault="00915902" w:rsidP="00000971">
            <w:pPr>
              <w:pStyle w:val="BBClause2"/>
              <w:ind w:left="720" w:hanging="720"/>
              <w:jc w:val="left"/>
              <w:rPr>
                <w:b/>
                <w:bCs/>
              </w:rPr>
            </w:pPr>
            <w:r w:rsidRPr="00EC76A4">
              <w:rPr>
                <w:b/>
                <w:bCs/>
              </w:rPr>
              <w:t>Facility</w:t>
            </w:r>
          </w:p>
        </w:tc>
        <w:tc>
          <w:tcPr>
            <w:tcW w:w="5103" w:type="dxa"/>
            <w:vAlign w:val="center"/>
          </w:tcPr>
          <w:p w14:paraId="35996373" w14:textId="77777777" w:rsidR="00915902" w:rsidRPr="00EC76A4" w:rsidRDefault="00915902" w:rsidP="00000971">
            <w:pPr>
              <w:pStyle w:val="BBClause2"/>
            </w:pPr>
            <w:r w:rsidRPr="0089195C">
              <w:t>The loan facility made available by the CEG to the Borrower under the Facility Agreement in an aggregate principal amount not exceeding the amount specified therein, to be used solely for the purposes agreed between the parties (typically to finance the Borrower's acquisition of or investment in the Shared Ownership Project).</w:t>
            </w:r>
          </w:p>
        </w:tc>
      </w:tr>
      <w:tr w:rsidR="00915902" w:rsidRPr="00EC76A4" w14:paraId="767353F0" w14:textId="77777777" w:rsidTr="00D47881">
        <w:tc>
          <w:tcPr>
            <w:tcW w:w="3969" w:type="dxa"/>
            <w:vAlign w:val="center"/>
          </w:tcPr>
          <w:p w14:paraId="19ADBDFE" w14:textId="77777777" w:rsidR="00915902" w:rsidRPr="00EC76A4" w:rsidRDefault="00915902" w:rsidP="00000971">
            <w:pPr>
              <w:pStyle w:val="BBClause2"/>
              <w:ind w:left="720" w:hanging="720"/>
              <w:jc w:val="left"/>
              <w:rPr>
                <w:b/>
                <w:bCs/>
              </w:rPr>
            </w:pPr>
            <w:r w:rsidRPr="00EC76A4">
              <w:rPr>
                <w:b/>
                <w:bCs/>
              </w:rPr>
              <w:t>Indemnity</w:t>
            </w:r>
          </w:p>
        </w:tc>
        <w:tc>
          <w:tcPr>
            <w:tcW w:w="5103" w:type="dxa"/>
            <w:vAlign w:val="center"/>
          </w:tcPr>
          <w:p w14:paraId="395E6C73" w14:textId="77777777" w:rsidR="00915902" w:rsidRPr="00EC76A4" w:rsidRDefault="00915902" w:rsidP="00000971">
            <w:pPr>
              <w:pStyle w:val="BBClause2"/>
            </w:pPr>
            <w:r w:rsidRPr="00EC76A4">
              <w:t xml:space="preserve">A promise to compensate someone for a loss or liability. </w:t>
            </w:r>
          </w:p>
        </w:tc>
      </w:tr>
      <w:tr w:rsidR="00915902" w:rsidRPr="00EC76A4" w14:paraId="51ABD9D7" w14:textId="77777777" w:rsidTr="00D47881">
        <w:tc>
          <w:tcPr>
            <w:tcW w:w="3969" w:type="dxa"/>
            <w:vAlign w:val="center"/>
          </w:tcPr>
          <w:p w14:paraId="41680810" w14:textId="77777777" w:rsidR="00915902" w:rsidRPr="00EC76A4" w:rsidRDefault="00915902" w:rsidP="00000971">
            <w:pPr>
              <w:pStyle w:val="BBClause2"/>
              <w:ind w:left="720" w:hanging="720"/>
              <w:jc w:val="left"/>
              <w:rPr>
                <w:b/>
                <w:bCs/>
              </w:rPr>
            </w:pPr>
            <w:r>
              <w:rPr>
                <w:b/>
                <w:bCs/>
              </w:rPr>
              <w:t>Lender</w:t>
            </w:r>
          </w:p>
        </w:tc>
        <w:tc>
          <w:tcPr>
            <w:tcW w:w="5103" w:type="dxa"/>
            <w:vAlign w:val="center"/>
          </w:tcPr>
          <w:p w14:paraId="4F0A1A9D" w14:textId="77777777" w:rsidR="00915902" w:rsidRPr="00EC76A4" w:rsidRDefault="00915902" w:rsidP="00000971">
            <w:pPr>
              <w:pStyle w:val="BBClause2"/>
            </w:pPr>
            <w:r>
              <w:t>T</w:t>
            </w:r>
            <w:r w:rsidRPr="00294708">
              <w:t>he CEG entity providing the loan facility to the Borrower. </w:t>
            </w:r>
          </w:p>
        </w:tc>
      </w:tr>
      <w:tr w:rsidR="00915902" w:rsidRPr="00EC76A4" w14:paraId="2CA07CD5" w14:textId="77777777" w:rsidTr="00D47881">
        <w:tc>
          <w:tcPr>
            <w:tcW w:w="3969" w:type="dxa"/>
            <w:vAlign w:val="center"/>
          </w:tcPr>
          <w:p w14:paraId="48D10105" w14:textId="77777777" w:rsidR="00915902" w:rsidRPr="00EC76A4" w:rsidRDefault="00915902" w:rsidP="00000971">
            <w:pPr>
              <w:pStyle w:val="BBClause2"/>
              <w:ind w:left="720" w:hanging="720"/>
              <w:jc w:val="left"/>
              <w:rPr>
                <w:b/>
                <w:bCs/>
              </w:rPr>
            </w:pPr>
            <w:r>
              <w:rPr>
                <w:b/>
                <w:bCs/>
              </w:rPr>
              <w:t>Obligor(s)</w:t>
            </w:r>
          </w:p>
        </w:tc>
        <w:tc>
          <w:tcPr>
            <w:tcW w:w="5103" w:type="dxa"/>
            <w:vAlign w:val="center"/>
          </w:tcPr>
          <w:p w14:paraId="1520F695" w14:textId="6292C3DF" w:rsidR="00915902" w:rsidRPr="00EC76A4" w:rsidRDefault="00915902" w:rsidP="00000971">
            <w:pPr>
              <w:pStyle w:val="BBClause2"/>
            </w:pPr>
            <w:r>
              <w:t xml:space="preserve">The Borrower and the Shareholder </w:t>
            </w:r>
            <w:r w:rsidRPr="00D2306A">
              <w:t>- the two entities that have primary obligations under the Finance Documents, including borrowing, granting security, and complying with various covenants and undertakings throughout the term of the Agreement.</w:t>
            </w:r>
          </w:p>
        </w:tc>
      </w:tr>
      <w:tr w:rsidR="00915902" w:rsidRPr="00EC76A4" w14:paraId="05DA6E7D" w14:textId="77777777" w:rsidTr="00D47881">
        <w:tc>
          <w:tcPr>
            <w:tcW w:w="3969" w:type="dxa"/>
            <w:vAlign w:val="center"/>
          </w:tcPr>
          <w:p w14:paraId="23E1D4E4" w14:textId="77777777" w:rsidR="00915902" w:rsidRPr="00EC76A4" w:rsidRDefault="00915902" w:rsidP="00000971">
            <w:pPr>
              <w:pStyle w:val="BBClause2"/>
              <w:jc w:val="left"/>
              <w:rPr>
                <w:b/>
                <w:bCs/>
              </w:rPr>
            </w:pPr>
            <w:r w:rsidRPr="00EC76A4">
              <w:rPr>
                <w:b/>
                <w:bCs/>
              </w:rPr>
              <w:t>Principal Amount</w:t>
            </w:r>
          </w:p>
        </w:tc>
        <w:tc>
          <w:tcPr>
            <w:tcW w:w="5103" w:type="dxa"/>
            <w:vAlign w:val="center"/>
          </w:tcPr>
          <w:p w14:paraId="29B0FCAE" w14:textId="77777777" w:rsidR="00915902" w:rsidRPr="00EC76A4" w:rsidRDefault="00915902" w:rsidP="00000971">
            <w:pPr>
              <w:pStyle w:val="BBClause2"/>
            </w:pPr>
            <w:r w:rsidRPr="0089195C">
              <w:t>The aggregate amount advanced or to be advanced by the CEG to the Borrower under the Facility, excluding any interest, fees, or other amounts that may become payable under the Facility Agreement, as reduced from time to time by repayments made by the Borrower.</w:t>
            </w:r>
          </w:p>
        </w:tc>
      </w:tr>
      <w:tr w:rsidR="00915902" w:rsidRPr="00EC76A4" w14:paraId="32B29444" w14:textId="77777777" w:rsidTr="00D47881">
        <w:tc>
          <w:tcPr>
            <w:tcW w:w="3969" w:type="dxa"/>
            <w:vAlign w:val="center"/>
          </w:tcPr>
          <w:p w14:paraId="27CD6BA2" w14:textId="77777777" w:rsidR="00915902" w:rsidRPr="00EC76A4" w:rsidRDefault="00915902" w:rsidP="00000971">
            <w:pPr>
              <w:pStyle w:val="BBClause2"/>
              <w:jc w:val="left"/>
              <w:rPr>
                <w:b/>
                <w:bCs/>
              </w:rPr>
            </w:pPr>
            <w:r w:rsidRPr="00EC76A4">
              <w:rPr>
                <w:b/>
                <w:bCs/>
              </w:rPr>
              <w:t>Revenue Sharing Agreement</w:t>
            </w:r>
          </w:p>
        </w:tc>
        <w:tc>
          <w:tcPr>
            <w:tcW w:w="5103" w:type="dxa"/>
            <w:vAlign w:val="center"/>
          </w:tcPr>
          <w:p w14:paraId="0EA6DE80" w14:textId="1CB0181B" w:rsidR="00915902" w:rsidRPr="00EC76A4" w:rsidRDefault="00915902" w:rsidP="00000971">
            <w:pPr>
              <w:pStyle w:val="BBClause2"/>
            </w:pPr>
            <w:r w:rsidRPr="0089195C">
              <w:t xml:space="preserve">An agreement entered into between the CEG </w:t>
            </w:r>
            <w:r w:rsidR="00003157">
              <w:t xml:space="preserve">and the Developer (and/or the </w:t>
            </w:r>
            <w:r w:rsidRPr="0089195C">
              <w:t xml:space="preserve">Borrower) pursuant to </w:t>
            </w:r>
            <w:r w:rsidRPr="0089195C">
              <w:lastRenderedPageBreak/>
              <w:t>which a defined share of the revenues generated by the Project is allocated to the CEG</w:t>
            </w:r>
            <w:r w:rsidR="00F175DE">
              <w:t>.</w:t>
            </w:r>
          </w:p>
        </w:tc>
      </w:tr>
      <w:tr w:rsidR="00915902" w:rsidRPr="00EC76A4" w14:paraId="35D694BD" w14:textId="77777777" w:rsidTr="00D47881">
        <w:tc>
          <w:tcPr>
            <w:tcW w:w="3969" w:type="dxa"/>
            <w:vAlign w:val="center"/>
          </w:tcPr>
          <w:p w14:paraId="07EEBE49" w14:textId="77777777" w:rsidR="00915902" w:rsidRPr="00EC76A4" w:rsidRDefault="00915902" w:rsidP="00000971">
            <w:pPr>
              <w:pStyle w:val="BBClause2"/>
              <w:jc w:val="left"/>
              <w:rPr>
                <w:b/>
                <w:bCs/>
              </w:rPr>
            </w:pPr>
            <w:r>
              <w:rPr>
                <w:b/>
                <w:bCs/>
              </w:rPr>
              <w:lastRenderedPageBreak/>
              <w:t>Shareholder</w:t>
            </w:r>
          </w:p>
        </w:tc>
        <w:tc>
          <w:tcPr>
            <w:tcW w:w="5103" w:type="dxa"/>
            <w:vAlign w:val="center"/>
          </w:tcPr>
          <w:p w14:paraId="6D06B83B" w14:textId="5638D291" w:rsidR="00915902" w:rsidRPr="0089195C" w:rsidRDefault="00BD397C" w:rsidP="00000971">
            <w:pPr>
              <w:pStyle w:val="BBClause2"/>
            </w:pPr>
            <w:r>
              <w:t>The Developer</w:t>
            </w:r>
            <w:r w:rsidR="00915902" w:rsidRPr="00D2306A">
              <w:t xml:space="preserve"> </w:t>
            </w:r>
            <w:r>
              <w:t>(in the context of this Facility Agreement) who</w:t>
            </w:r>
            <w:r w:rsidR="00915902" w:rsidRPr="00D2306A">
              <w:t xml:space="preserve"> owns 100% of the Borrower</w:t>
            </w:r>
            <w:r w:rsidR="00915902">
              <w:t>, and is one of two Obligors (alongside the Borrower)</w:t>
            </w:r>
            <w:r w:rsidR="00F175DE">
              <w:t>.</w:t>
            </w:r>
          </w:p>
        </w:tc>
      </w:tr>
      <w:tr w:rsidR="00915902" w:rsidRPr="00EC76A4" w14:paraId="63EA88FD" w14:textId="77777777" w:rsidTr="00D47881">
        <w:tc>
          <w:tcPr>
            <w:tcW w:w="3969" w:type="dxa"/>
            <w:vAlign w:val="center"/>
          </w:tcPr>
          <w:p w14:paraId="0414E052" w14:textId="77777777" w:rsidR="00915902" w:rsidRPr="00F175DE" w:rsidRDefault="00915902" w:rsidP="00000971">
            <w:pPr>
              <w:pStyle w:val="BBClause2"/>
              <w:jc w:val="left"/>
              <w:rPr>
                <w:b/>
                <w:bCs/>
                <w:szCs w:val="22"/>
              </w:rPr>
            </w:pPr>
            <w:r w:rsidRPr="0034167D">
              <w:rPr>
                <w:rFonts w:eastAsia="Times New Roman"/>
                <w:b/>
                <w:bCs/>
                <w:szCs w:val="22"/>
                <w:lang w:eastAsia="en-GB"/>
              </w:rPr>
              <w:t>Shared Ownership / Shared Ownership Project (SO Project)</w:t>
            </w:r>
          </w:p>
        </w:tc>
        <w:tc>
          <w:tcPr>
            <w:tcW w:w="5103" w:type="dxa"/>
            <w:vAlign w:val="center"/>
          </w:tcPr>
          <w:p w14:paraId="2FEE4C1C" w14:textId="1E39A5FA" w:rsidR="00915902" w:rsidRPr="00F175DE" w:rsidRDefault="00915902" w:rsidP="00000971">
            <w:pPr>
              <w:pStyle w:val="BBClause2"/>
              <w:rPr>
                <w:szCs w:val="22"/>
              </w:rPr>
            </w:pPr>
            <w:r w:rsidRPr="0034167D">
              <w:rPr>
                <w:rFonts w:eastAsia="Times New Roman"/>
                <w:szCs w:val="22"/>
                <w:lang w:eastAsia="en-GB"/>
              </w:rPr>
              <w:t>An arrangement whereby a CEG acquires an ownership stake (or right to revenue) in a renewable energy project</w:t>
            </w:r>
            <w:r w:rsidR="00F175DE" w:rsidRPr="0034167D">
              <w:rPr>
                <w:rFonts w:eastAsia="Times New Roman"/>
                <w:szCs w:val="22"/>
                <w:lang w:eastAsia="en-GB"/>
              </w:rPr>
              <w:t>.</w:t>
            </w:r>
          </w:p>
        </w:tc>
      </w:tr>
      <w:tr w:rsidR="00915902" w:rsidRPr="00EC76A4" w14:paraId="661427B6" w14:textId="77777777" w:rsidTr="00D47881">
        <w:tc>
          <w:tcPr>
            <w:tcW w:w="3969" w:type="dxa"/>
            <w:vAlign w:val="center"/>
          </w:tcPr>
          <w:p w14:paraId="3796424E" w14:textId="77777777" w:rsidR="00915902" w:rsidRPr="00EC76A4" w:rsidRDefault="00915902" w:rsidP="00000971">
            <w:pPr>
              <w:pStyle w:val="BBClause2"/>
              <w:jc w:val="left"/>
              <w:rPr>
                <w:b/>
                <w:bCs/>
              </w:rPr>
            </w:pPr>
            <w:r w:rsidRPr="00EC76A4">
              <w:rPr>
                <w:b/>
                <w:bCs/>
              </w:rPr>
              <w:t>Shared Revenue Shared Ownership Project</w:t>
            </w:r>
          </w:p>
        </w:tc>
        <w:tc>
          <w:tcPr>
            <w:tcW w:w="5103" w:type="dxa"/>
            <w:vAlign w:val="center"/>
          </w:tcPr>
          <w:p w14:paraId="1A7A6F7F" w14:textId="1A8D7DD9" w:rsidR="00915902" w:rsidRPr="00EC76A4" w:rsidRDefault="00915902" w:rsidP="00000971">
            <w:pPr>
              <w:pStyle w:val="BBClause2"/>
            </w:pPr>
            <w:r w:rsidRPr="0089195C">
              <w:t>A variant of the Shared Ownership Project in which the community interest is structured through a Revenue Sharing Agreement rather than through direct asset ownership or equity participation, with the CEG receiving an agreed share of project revenues rather than holding a direct ownership stake in the generating assets.</w:t>
            </w:r>
          </w:p>
        </w:tc>
      </w:tr>
      <w:tr w:rsidR="00915902" w:rsidRPr="00EC76A4" w14:paraId="38402098" w14:textId="77777777" w:rsidTr="00D47881">
        <w:tc>
          <w:tcPr>
            <w:tcW w:w="3969" w:type="dxa"/>
            <w:vAlign w:val="center"/>
          </w:tcPr>
          <w:p w14:paraId="2E446362" w14:textId="77777777" w:rsidR="00915902" w:rsidRPr="00EC76A4" w:rsidRDefault="00915902" w:rsidP="00000971">
            <w:pPr>
              <w:pStyle w:val="BBClause2"/>
              <w:jc w:val="left"/>
              <w:rPr>
                <w:b/>
                <w:bCs/>
              </w:rPr>
            </w:pPr>
            <w:r w:rsidRPr="00EC76A4">
              <w:rPr>
                <w:b/>
                <w:bCs/>
              </w:rPr>
              <w:t>Sponsor</w:t>
            </w:r>
          </w:p>
        </w:tc>
        <w:tc>
          <w:tcPr>
            <w:tcW w:w="5103" w:type="dxa"/>
            <w:vAlign w:val="center"/>
          </w:tcPr>
          <w:p w14:paraId="10A58085" w14:textId="2C04C1B1" w:rsidR="00915902" w:rsidRPr="00EC76A4" w:rsidRDefault="00915902" w:rsidP="00000971">
            <w:pPr>
              <w:pStyle w:val="BBClause2"/>
            </w:pPr>
            <w:r w:rsidRPr="007C6DD6">
              <w:t>The Sponsor is the ultimate parent company in the ownership structure</w:t>
            </w:r>
            <w:r>
              <w:t xml:space="preserve"> of the Borrower</w:t>
            </w:r>
            <w:r w:rsidRPr="007C6DD6">
              <w:t>. Specifically, the Sponsor owns 100% of the Shareholder, who in turn owns 100% of the Borrower</w:t>
            </w:r>
            <w:r w:rsidR="00F175DE">
              <w:t>.</w:t>
            </w:r>
          </w:p>
        </w:tc>
      </w:tr>
      <w:tr w:rsidR="00915902" w:rsidRPr="00EC76A4" w14:paraId="171B1C87" w14:textId="77777777" w:rsidTr="00D47881">
        <w:tc>
          <w:tcPr>
            <w:tcW w:w="3969" w:type="dxa"/>
          </w:tcPr>
          <w:p w14:paraId="0F2F3C7E" w14:textId="77777777" w:rsidR="00915902" w:rsidRPr="00263AE4" w:rsidRDefault="00915902" w:rsidP="00000971">
            <w:pPr>
              <w:pStyle w:val="BBClause2"/>
              <w:rPr>
                <w:b/>
                <w:bCs/>
              </w:rPr>
            </w:pPr>
            <w:r w:rsidRPr="00263AE4">
              <w:rPr>
                <w:b/>
                <w:bCs/>
              </w:rPr>
              <w:t>Special purpose vehicle (SPV)</w:t>
            </w:r>
          </w:p>
          <w:p w14:paraId="22305603" w14:textId="77777777" w:rsidR="00915902" w:rsidRPr="00EC76A4" w:rsidRDefault="00915902" w:rsidP="00000971">
            <w:pPr>
              <w:pStyle w:val="BBClause2"/>
              <w:jc w:val="left"/>
              <w:rPr>
                <w:b/>
                <w:bCs/>
              </w:rPr>
            </w:pPr>
          </w:p>
        </w:tc>
        <w:tc>
          <w:tcPr>
            <w:tcW w:w="5103" w:type="dxa"/>
          </w:tcPr>
          <w:p w14:paraId="33607952" w14:textId="77777777" w:rsidR="00915902" w:rsidRPr="007C6DD6" w:rsidRDefault="00915902" w:rsidP="00000971">
            <w:pPr>
              <w:pStyle w:val="BBClause2"/>
            </w:pPr>
            <w:r w:rsidRPr="004A4982">
              <w:t>A company created for a specific, limited purpose, typically to hold a particular asset or carry out a particular project. SPVs ring-fence risk and keep specific projects separate from other business activities.</w:t>
            </w:r>
          </w:p>
        </w:tc>
      </w:tr>
      <w:tr w:rsidR="00915902" w:rsidRPr="00EC76A4" w14:paraId="7925C949" w14:textId="77777777" w:rsidTr="00D47881">
        <w:tc>
          <w:tcPr>
            <w:tcW w:w="3969" w:type="dxa"/>
            <w:vAlign w:val="center"/>
          </w:tcPr>
          <w:p w14:paraId="06222370" w14:textId="77777777" w:rsidR="00915902" w:rsidRPr="00EC76A4" w:rsidRDefault="00915902" w:rsidP="00000971">
            <w:pPr>
              <w:pStyle w:val="BBClause2"/>
              <w:jc w:val="left"/>
              <w:rPr>
                <w:b/>
                <w:bCs/>
              </w:rPr>
            </w:pPr>
            <w:r w:rsidRPr="00EC76A4">
              <w:rPr>
                <w:b/>
                <w:bCs/>
              </w:rPr>
              <w:t>Waiver</w:t>
            </w:r>
          </w:p>
        </w:tc>
        <w:tc>
          <w:tcPr>
            <w:tcW w:w="5103" w:type="dxa"/>
            <w:vAlign w:val="center"/>
          </w:tcPr>
          <w:p w14:paraId="66B64299" w14:textId="77777777" w:rsidR="00915902" w:rsidRPr="00EC76A4" w:rsidRDefault="00915902" w:rsidP="00000971">
            <w:pPr>
              <w:pStyle w:val="BBClause2"/>
            </w:pPr>
            <w:r w:rsidRPr="00EC76A4">
              <w:t xml:space="preserve">The voluntary giving up of a right or claim. </w:t>
            </w:r>
          </w:p>
        </w:tc>
      </w:tr>
      <w:tr w:rsidR="00915902" w:rsidRPr="00EC76A4" w14:paraId="095A27E0" w14:textId="77777777" w:rsidTr="00D47881">
        <w:tc>
          <w:tcPr>
            <w:tcW w:w="3969" w:type="dxa"/>
            <w:vAlign w:val="center"/>
          </w:tcPr>
          <w:p w14:paraId="39A7F054" w14:textId="77777777" w:rsidR="00915902" w:rsidRPr="00EC76A4" w:rsidRDefault="00915902" w:rsidP="00000971">
            <w:pPr>
              <w:pStyle w:val="BBClause2"/>
              <w:jc w:val="left"/>
              <w:rPr>
                <w:b/>
                <w:bCs/>
              </w:rPr>
            </w:pPr>
            <w:r w:rsidRPr="00EC76A4">
              <w:rPr>
                <w:b/>
                <w:bCs/>
              </w:rPr>
              <w:t>Warranties</w:t>
            </w:r>
          </w:p>
        </w:tc>
        <w:tc>
          <w:tcPr>
            <w:tcW w:w="5103" w:type="dxa"/>
            <w:vAlign w:val="center"/>
          </w:tcPr>
          <w:p w14:paraId="7ABB9543" w14:textId="77777777" w:rsidR="00915902" w:rsidRPr="00EC76A4" w:rsidRDefault="00915902" w:rsidP="00000971">
            <w:pPr>
              <w:pStyle w:val="BBClause2"/>
            </w:pPr>
            <w:r w:rsidRPr="00EC76A4">
              <w:t>A promise or assurance about the state of affairs of a company or the accuracy of certain facts. If a warranty proves to be untrue, the party who gave it may be liable for any losses suffered as a result.</w:t>
            </w:r>
          </w:p>
        </w:tc>
      </w:tr>
    </w:tbl>
    <w:p w14:paraId="62B86BA7" w14:textId="77777777" w:rsidR="00915902" w:rsidRPr="00F74A15" w:rsidRDefault="00915902" w:rsidP="00915902">
      <w:pPr>
        <w:pStyle w:val="BBBodyTextIndent1"/>
      </w:pPr>
    </w:p>
    <w:p w14:paraId="5806D71C" w14:textId="77777777" w:rsidR="00915902" w:rsidRPr="00253A09" w:rsidRDefault="00915902" w:rsidP="00915902">
      <w:pPr>
        <w:pStyle w:val="BBBodyTextIndent1"/>
      </w:pPr>
    </w:p>
    <w:p w14:paraId="36D10801" w14:textId="40E119FD" w:rsidR="00A954AB" w:rsidRPr="00323B02" w:rsidRDefault="00A954AB" w:rsidP="00C6750D">
      <w:pPr>
        <w:pStyle w:val="BBClause2"/>
        <w:rPr>
          <w:rFonts w:asciiTheme="majorHAnsi" w:hAnsiTheme="majorHAnsi"/>
          <w:szCs w:val="22"/>
        </w:rPr>
      </w:pPr>
      <w:r w:rsidRPr="00323B02">
        <w:rPr>
          <w:rFonts w:asciiTheme="majorHAnsi" w:hAnsiTheme="majorHAnsi"/>
          <w:szCs w:val="22"/>
        </w:rPr>
        <w:br w:type="page"/>
      </w:r>
    </w:p>
    <w:p w14:paraId="15A27B82" w14:textId="4670D092" w:rsidR="009F5866" w:rsidRPr="00323B02" w:rsidRDefault="009F5866" w:rsidP="003C4CA6">
      <w:pPr>
        <w:pStyle w:val="BBHeading1Lower"/>
        <w:numPr>
          <w:ilvl w:val="0"/>
          <w:numId w:val="8"/>
        </w:numPr>
        <w:rPr>
          <w:rFonts w:asciiTheme="majorHAnsi" w:hAnsiTheme="majorHAnsi"/>
          <w:szCs w:val="22"/>
        </w:rPr>
      </w:pPr>
      <w:bookmarkStart w:id="7" w:name="_Toc225518681"/>
      <w:bookmarkStart w:id="8" w:name="_Toc225518682"/>
      <w:bookmarkEnd w:id="7"/>
      <w:r w:rsidRPr="00323B02">
        <w:rPr>
          <w:rFonts w:asciiTheme="majorHAnsi" w:hAnsiTheme="majorHAnsi"/>
          <w:szCs w:val="22"/>
        </w:rPr>
        <w:lastRenderedPageBreak/>
        <w:t>Clause-by-clause commentary</w:t>
      </w:r>
      <w:bookmarkEnd w:id="8"/>
    </w:p>
    <w:p w14:paraId="0FD55889" w14:textId="69D54D8D" w:rsidR="00B07E55" w:rsidRPr="00323B02" w:rsidRDefault="00B07E55" w:rsidP="003C4CA6">
      <w:pPr>
        <w:pStyle w:val="BBHeading1Lower"/>
        <w:numPr>
          <w:ilvl w:val="1"/>
          <w:numId w:val="8"/>
        </w:numPr>
        <w:rPr>
          <w:rFonts w:asciiTheme="majorHAnsi" w:hAnsiTheme="majorHAnsi"/>
          <w:b w:val="0"/>
          <w:bCs/>
          <w:szCs w:val="22"/>
          <w:u w:val="single"/>
        </w:rPr>
      </w:pPr>
      <w:bookmarkStart w:id="9" w:name="_Toc225518683"/>
      <w:r w:rsidRPr="00323B02">
        <w:rPr>
          <w:rFonts w:asciiTheme="majorHAnsi" w:hAnsiTheme="majorHAnsi"/>
          <w:szCs w:val="22"/>
          <w:u w:val="single"/>
        </w:rPr>
        <w:t>Parties</w:t>
      </w:r>
      <w:bookmarkEnd w:id="9"/>
      <w:r w:rsidRPr="00323B02">
        <w:rPr>
          <w:rFonts w:asciiTheme="majorHAnsi" w:hAnsiTheme="majorHAnsi"/>
          <w:b w:val="0"/>
          <w:bCs/>
          <w:szCs w:val="22"/>
          <w:u w:val="single"/>
        </w:rPr>
        <w:t xml:space="preserve"> </w:t>
      </w:r>
    </w:p>
    <w:p w14:paraId="0297D72C" w14:textId="77777777" w:rsidR="001C5240" w:rsidRPr="00323B02" w:rsidRDefault="001C5240" w:rsidP="001C5240">
      <w:pPr>
        <w:ind w:left="720"/>
        <w:rPr>
          <w:rFonts w:asciiTheme="majorHAnsi" w:hAnsiTheme="majorHAnsi"/>
          <w:b/>
          <w:bCs/>
          <w:sz w:val="22"/>
          <w:szCs w:val="22"/>
        </w:rPr>
      </w:pPr>
      <w:bookmarkStart w:id="10" w:name="_Hlk222490434"/>
      <w:r w:rsidRPr="00323B02">
        <w:rPr>
          <w:rFonts w:asciiTheme="majorHAnsi" w:hAnsiTheme="majorHAnsi"/>
          <w:b/>
          <w:bCs/>
          <w:sz w:val="22"/>
          <w:szCs w:val="22"/>
        </w:rPr>
        <w:t>Action Required:</w:t>
      </w:r>
    </w:p>
    <w:p w14:paraId="587242D8" w14:textId="77777777" w:rsidR="001C5240" w:rsidRPr="00323B02" w:rsidRDefault="001C5240" w:rsidP="001C5240">
      <w:pPr>
        <w:ind w:left="720"/>
        <w:rPr>
          <w:rFonts w:asciiTheme="majorHAnsi" w:hAnsiTheme="majorHAnsi"/>
          <w:b/>
          <w:bCs/>
          <w:sz w:val="22"/>
          <w:szCs w:val="22"/>
        </w:rPr>
      </w:pPr>
    </w:p>
    <w:p w14:paraId="6CAE54C2" w14:textId="0539D90A" w:rsidR="001C5240" w:rsidRPr="00323B02" w:rsidRDefault="001C5240" w:rsidP="002A294A">
      <w:pPr>
        <w:pStyle w:val="BBClause2"/>
        <w:numPr>
          <w:ilvl w:val="2"/>
          <w:numId w:val="14"/>
        </w:numPr>
        <w:rPr>
          <w:rFonts w:asciiTheme="majorHAnsi" w:hAnsiTheme="majorHAnsi"/>
          <w:szCs w:val="22"/>
        </w:rPr>
      </w:pPr>
      <w:r w:rsidRPr="00323B02">
        <w:rPr>
          <w:rFonts w:asciiTheme="majorHAnsi" w:hAnsiTheme="majorHAnsi"/>
          <w:szCs w:val="22"/>
        </w:rPr>
        <w:t>Insert the parties' details (including, where applicable, full legal name, legal form, registration number, and registered office address for each party)</w:t>
      </w:r>
      <w:r w:rsidR="00117628">
        <w:rPr>
          <w:rFonts w:asciiTheme="majorHAnsi" w:hAnsiTheme="majorHAnsi"/>
          <w:szCs w:val="22"/>
        </w:rPr>
        <w:t>.</w:t>
      </w:r>
    </w:p>
    <w:p w14:paraId="6BB4D1C1" w14:textId="0E50800C" w:rsidR="001C5240" w:rsidRPr="00323B02" w:rsidRDefault="001C5240" w:rsidP="002A294A">
      <w:pPr>
        <w:pStyle w:val="BBClause2"/>
        <w:numPr>
          <w:ilvl w:val="2"/>
          <w:numId w:val="14"/>
        </w:numPr>
        <w:rPr>
          <w:rFonts w:asciiTheme="majorHAnsi" w:hAnsiTheme="majorHAnsi"/>
          <w:szCs w:val="22"/>
        </w:rPr>
      </w:pPr>
      <w:r w:rsidRPr="00323B02">
        <w:rPr>
          <w:rFonts w:asciiTheme="majorHAnsi" w:hAnsiTheme="majorHAnsi"/>
          <w:szCs w:val="22"/>
        </w:rPr>
        <w:t>Confirm the legal form of each party and amend if either the Borrower or CEG is a different form of entity from those assumed in the Template.</w:t>
      </w:r>
    </w:p>
    <w:p w14:paraId="72C4FB44" w14:textId="66ACD690" w:rsidR="003C4CA6" w:rsidRPr="00323B02" w:rsidRDefault="004314CD" w:rsidP="003C4CA6">
      <w:pPr>
        <w:pStyle w:val="BBHeading1Lower"/>
        <w:numPr>
          <w:ilvl w:val="1"/>
          <w:numId w:val="8"/>
        </w:numPr>
        <w:rPr>
          <w:rFonts w:asciiTheme="majorHAnsi" w:hAnsiTheme="majorHAnsi"/>
          <w:szCs w:val="22"/>
          <w:u w:val="single"/>
        </w:rPr>
      </w:pPr>
      <w:bookmarkStart w:id="11" w:name="_Toc225518684"/>
      <w:bookmarkStart w:id="12" w:name="_Hlk222490451"/>
      <w:bookmarkEnd w:id="10"/>
      <w:r w:rsidRPr="00323B02">
        <w:rPr>
          <w:rFonts w:asciiTheme="majorHAnsi" w:hAnsiTheme="majorHAnsi"/>
          <w:szCs w:val="22"/>
          <w:u w:val="single"/>
        </w:rPr>
        <w:t xml:space="preserve">Clause 1: </w:t>
      </w:r>
      <w:r w:rsidR="003C4CA6" w:rsidRPr="00323B02">
        <w:rPr>
          <w:rFonts w:asciiTheme="majorHAnsi" w:hAnsiTheme="majorHAnsi"/>
          <w:szCs w:val="22"/>
          <w:u w:val="single"/>
        </w:rPr>
        <w:t>Definitions and Interpretation</w:t>
      </w:r>
      <w:bookmarkEnd w:id="11"/>
      <w:r w:rsidR="003C4CA6" w:rsidRPr="00323B02">
        <w:rPr>
          <w:rFonts w:asciiTheme="majorHAnsi" w:hAnsiTheme="majorHAnsi"/>
          <w:szCs w:val="22"/>
          <w:u w:val="single"/>
        </w:rPr>
        <w:t xml:space="preserve"> </w:t>
      </w:r>
    </w:p>
    <w:p w14:paraId="60790791" w14:textId="0EB3D173" w:rsidR="003C4CA6" w:rsidRPr="00323B02" w:rsidRDefault="003C4CA6" w:rsidP="003C4CA6">
      <w:pPr>
        <w:pStyle w:val="BBBodyTextIndent1"/>
        <w:rPr>
          <w:rFonts w:asciiTheme="majorHAnsi" w:hAnsiTheme="majorHAnsi"/>
          <w:szCs w:val="22"/>
        </w:rPr>
      </w:pPr>
      <w:r w:rsidRPr="00323B02">
        <w:rPr>
          <w:rFonts w:asciiTheme="majorHAnsi" w:hAnsiTheme="majorHAnsi"/>
          <w:b/>
          <w:bCs/>
          <w:szCs w:val="22"/>
        </w:rPr>
        <w:t xml:space="preserve">Purpose: </w:t>
      </w:r>
      <w:r w:rsidRPr="00323B02">
        <w:rPr>
          <w:rFonts w:asciiTheme="majorHAnsi" w:hAnsiTheme="majorHAnsi"/>
          <w:szCs w:val="22"/>
        </w:rPr>
        <w:t>The definitions section establishes clear, consistent meanings for key terms that are used multiple times throughout the Template, or terms that have specific meanings different from ordinary use. This enhances clarity, reduces ambiguity, and helps prevent disputes arising from differing interpretations of terminology. All defined terms are capitalised (e.g. Project)</w:t>
      </w:r>
      <w:r w:rsidR="00F175DE">
        <w:rPr>
          <w:rFonts w:asciiTheme="majorHAnsi" w:hAnsiTheme="majorHAnsi"/>
          <w:szCs w:val="22"/>
        </w:rPr>
        <w:t>.</w:t>
      </w:r>
    </w:p>
    <w:p w14:paraId="73842B79" w14:textId="56660605" w:rsidR="004314CD" w:rsidRPr="00323B02" w:rsidRDefault="004314CD" w:rsidP="003C4CA6">
      <w:pPr>
        <w:pStyle w:val="BBBodyTextIndent1"/>
        <w:rPr>
          <w:rFonts w:asciiTheme="majorHAnsi" w:hAnsiTheme="majorHAnsi"/>
          <w:szCs w:val="22"/>
        </w:rPr>
      </w:pPr>
      <w:r w:rsidRPr="00323B02">
        <w:rPr>
          <w:rFonts w:asciiTheme="majorHAnsi" w:hAnsiTheme="majorHAnsi"/>
          <w:b/>
          <w:bCs/>
          <w:szCs w:val="22"/>
        </w:rPr>
        <w:t xml:space="preserve">Action Required: </w:t>
      </w:r>
    </w:p>
    <w:p w14:paraId="48B50C21" w14:textId="37F6FC10" w:rsidR="004314CD" w:rsidRPr="00323B02" w:rsidRDefault="004314CD" w:rsidP="004314CD">
      <w:pPr>
        <w:pStyle w:val="BBClause2"/>
        <w:numPr>
          <w:ilvl w:val="0"/>
          <w:numId w:val="13"/>
        </w:numPr>
        <w:ind w:left="1080"/>
        <w:rPr>
          <w:rFonts w:asciiTheme="majorHAnsi" w:hAnsiTheme="majorHAnsi"/>
          <w:szCs w:val="22"/>
        </w:rPr>
      </w:pPr>
      <w:r w:rsidRPr="00323B02">
        <w:rPr>
          <w:rFonts w:asciiTheme="majorHAnsi" w:hAnsiTheme="majorHAnsi"/>
          <w:szCs w:val="22"/>
        </w:rPr>
        <w:t>Review the definitions and insert relevant information where there are [ ]</w:t>
      </w:r>
      <w:r w:rsidR="00117628">
        <w:rPr>
          <w:rFonts w:asciiTheme="majorHAnsi" w:hAnsiTheme="majorHAnsi"/>
          <w:szCs w:val="22"/>
        </w:rPr>
        <w:t>.</w:t>
      </w:r>
    </w:p>
    <w:p w14:paraId="2E68CE8D" w14:textId="5E8718D4" w:rsidR="004314CD" w:rsidRPr="00323B02" w:rsidRDefault="004314CD" w:rsidP="004314CD">
      <w:pPr>
        <w:pStyle w:val="BBClause2"/>
        <w:numPr>
          <w:ilvl w:val="0"/>
          <w:numId w:val="13"/>
        </w:numPr>
        <w:ind w:left="1080"/>
        <w:rPr>
          <w:rFonts w:asciiTheme="majorHAnsi" w:hAnsiTheme="majorHAnsi"/>
          <w:szCs w:val="22"/>
        </w:rPr>
      </w:pPr>
      <w:r w:rsidRPr="00323B02">
        <w:rPr>
          <w:rFonts w:asciiTheme="majorHAnsi" w:hAnsiTheme="majorHAnsi"/>
          <w:szCs w:val="22"/>
        </w:rPr>
        <w:t>Review all other definitions to ensure they are appropriate to the Proposed Transaction and amend/delete/add definitions as necessary</w:t>
      </w:r>
      <w:r w:rsidR="00117628">
        <w:rPr>
          <w:rFonts w:asciiTheme="majorHAnsi" w:hAnsiTheme="majorHAnsi"/>
          <w:szCs w:val="22"/>
        </w:rPr>
        <w:t>.</w:t>
      </w:r>
    </w:p>
    <w:p w14:paraId="76281341" w14:textId="525B1F61" w:rsidR="004314CD" w:rsidRPr="00323B02" w:rsidRDefault="004314CD" w:rsidP="004314CD">
      <w:pPr>
        <w:pStyle w:val="BBHeading1Lower"/>
        <w:numPr>
          <w:ilvl w:val="1"/>
          <w:numId w:val="8"/>
        </w:numPr>
        <w:rPr>
          <w:rFonts w:asciiTheme="majorHAnsi" w:hAnsiTheme="majorHAnsi"/>
          <w:szCs w:val="22"/>
          <w:u w:val="single"/>
        </w:rPr>
      </w:pPr>
      <w:bookmarkStart w:id="13" w:name="_Toc225518685"/>
      <w:bookmarkStart w:id="14" w:name="_Hlk222490491"/>
      <w:bookmarkEnd w:id="12"/>
      <w:r w:rsidRPr="00323B02">
        <w:rPr>
          <w:rFonts w:asciiTheme="majorHAnsi" w:hAnsiTheme="majorHAnsi"/>
          <w:szCs w:val="22"/>
          <w:u w:val="single"/>
        </w:rPr>
        <w:t>Clause 2: The Facility</w:t>
      </w:r>
      <w:bookmarkEnd w:id="13"/>
      <w:r w:rsidRPr="00323B02">
        <w:rPr>
          <w:rFonts w:asciiTheme="majorHAnsi" w:hAnsiTheme="majorHAnsi"/>
          <w:szCs w:val="22"/>
          <w:u w:val="single"/>
        </w:rPr>
        <w:t xml:space="preserve">  </w:t>
      </w:r>
    </w:p>
    <w:p w14:paraId="3364B32B" w14:textId="77777777" w:rsidR="004314CD" w:rsidRPr="00323B02" w:rsidRDefault="004314CD" w:rsidP="004314CD">
      <w:pPr>
        <w:pStyle w:val="BBBodyTextIndent1"/>
        <w:rPr>
          <w:rFonts w:asciiTheme="majorHAnsi" w:hAnsiTheme="majorHAnsi"/>
          <w:szCs w:val="22"/>
        </w:rPr>
      </w:pPr>
      <w:r w:rsidRPr="00323B02">
        <w:rPr>
          <w:rFonts w:asciiTheme="majorHAnsi" w:hAnsiTheme="majorHAnsi"/>
          <w:b/>
          <w:bCs/>
          <w:szCs w:val="22"/>
        </w:rPr>
        <w:t xml:space="preserve">Purpose: </w:t>
      </w:r>
      <w:r w:rsidRPr="00323B02">
        <w:rPr>
          <w:rFonts w:asciiTheme="majorHAnsi" w:hAnsiTheme="majorHAnsi"/>
          <w:szCs w:val="22"/>
        </w:rPr>
        <w:t>This clause sets out the maximum principal amount of the loan facility that the Lender is making available to the Borrower.</w:t>
      </w:r>
    </w:p>
    <w:p w14:paraId="635F56E2" w14:textId="64ECCAAF" w:rsidR="004314CD" w:rsidRPr="00323B02" w:rsidRDefault="004314CD" w:rsidP="004314CD">
      <w:pPr>
        <w:pStyle w:val="BBBodyTextIndent1"/>
        <w:rPr>
          <w:rFonts w:asciiTheme="majorHAnsi" w:hAnsiTheme="majorHAnsi"/>
          <w:szCs w:val="22"/>
        </w:rPr>
      </w:pPr>
      <w:r w:rsidRPr="00323B02">
        <w:rPr>
          <w:rFonts w:asciiTheme="majorHAnsi" w:hAnsiTheme="majorHAnsi"/>
          <w:b/>
          <w:bCs/>
          <w:szCs w:val="22"/>
        </w:rPr>
        <w:t xml:space="preserve">Action Required: </w:t>
      </w:r>
    </w:p>
    <w:p w14:paraId="0DD92AE5" w14:textId="2243A008" w:rsidR="004314CD" w:rsidRPr="00323B02" w:rsidRDefault="004314CD" w:rsidP="0091209E">
      <w:pPr>
        <w:pStyle w:val="BBClause2"/>
        <w:numPr>
          <w:ilvl w:val="0"/>
          <w:numId w:val="13"/>
        </w:numPr>
        <w:ind w:left="1080"/>
        <w:rPr>
          <w:rFonts w:asciiTheme="majorHAnsi" w:hAnsiTheme="majorHAnsi"/>
          <w:szCs w:val="22"/>
        </w:rPr>
      </w:pPr>
      <w:r w:rsidRPr="00323B02">
        <w:rPr>
          <w:rFonts w:asciiTheme="majorHAnsi" w:hAnsiTheme="majorHAnsi"/>
          <w:szCs w:val="22"/>
        </w:rPr>
        <w:t>Insert the Total Facility Amount (i.e. the maximum amount the CEG will lend)</w:t>
      </w:r>
      <w:r w:rsidR="00117628">
        <w:rPr>
          <w:rFonts w:asciiTheme="majorHAnsi" w:hAnsiTheme="majorHAnsi"/>
          <w:szCs w:val="22"/>
        </w:rPr>
        <w:t>.</w:t>
      </w:r>
    </w:p>
    <w:p w14:paraId="57A26690" w14:textId="08E6AA9A" w:rsidR="00613171" w:rsidRPr="00323B02" w:rsidRDefault="00613171" w:rsidP="00613171">
      <w:pPr>
        <w:pStyle w:val="BBHeading1Lower"/>
        <w:numPr>
          <w:ilvl w:val="1"/>
          <w:numId w:val="8"/>
        </w:numPr>
        <w:rPr>
          <w:rFonts w:asciiTheme="majorHAnsi" w:hAnsiTheme="majorHAnsi"/>
          <w:szCs w:val="22"/>
          <w:u w:val="single"/>
        </w:rPr>
      </w:pPr>
      <w:bookmarkStart w:id="15" w:name="_Toc225518686"/>
      <w:bookmarkStart w:id="16" w:name="_Hlk222490612"/>
      <w:bookmarkEnd w:id="14"/>
      <w:r w:rsidRPr="00323B02">
        <w:rPr>
          <w:rFonts w:asciiTheme="majorHAnsi" w:hAnsiTheme="majorHAnsi"/>
          <w:szCs w:val="22"/>
          <w:u w:val="single"/>
        </w:rPr>
        <w:t>Clause 3: Purpose</w:t>
      </w:r>
      <w:bookmarkEnd w:id="15"/>
      <w:r w:rsidRPr="00323B02">
        <w:rPr>
          <w:rFonts w:asciiTheme="majorHAnsi" w:hAnsiTheme="majorHAnsi"/>
          <w:szCs w:val="22"/>
          <w:u w:val="single"/>
        </w:rPr>
        <w:t xml:space="preserve"> </w:t>
      </w:r>
    </w:p>
    <w:p w14:paraId="5DEC53D5" w14:textId="2411B29C" w:rsidR="009425FC" w:rsidRPr="00323B02" w:rsidRDefault="00613171" w:rsidP="009425FC">
      <w:pPr>
        <w:pStyle w:val="DefinitionClause"/>
      </w:pPr>
      <w:r w:rsidRPr="00323B02">
        <w:rPr>
          <w:rFonts w:asciiTheme="majorHAnsi" w:hAnsiTheme="majorHAnsi"/>
          <w:b/>
          <w:bCs/>
          <w:szCs w:val="22"/>
        </w:rPr>
        <w:t xml:space="preserve">Purpose: </w:t>
      </w:r>
      <w:r w:rsidRPr="00323B02">
        <w:rPr>
          <w:rFonts w:asciiTheme="majorHAnsi" w:hAnsiTheme="majorHAnsi"/>
          <w:szCs w:val="22"/>
        </w:rPr>
        <w:t>This clause</w:t>
      </w:r>
      <w:r w:rsidR="00CB2E6D" w:rsidRPr="00323B02">
        <w:rPr>
          <w:rFonts w:asciiTheme="majorHAnsi" w:hAnsiTheme="majorHAnsi"/>
          <w:szCs w:val="22"/>
        </w:rPr>
        <w:t xml:space="preserve"> </w:t>
      </w:r>
      <w:r w:rsidR="004C0954" w:rsidRPr="00323B02">
        <w:rPr>
          <w:rFonts w:asciiTheme="majorHAnsi" w:hAnsiTheme="majorHAnsi"/>
          <w:szCs w:val="22"/>
        </w:rPr>
        <w:t xml:space="preserve">requires the Borrower to use the loan for funding the costs of the project in accordance with an </w:t>
      </w:r>
      <w:r w:rsidR="009425FC" w:rsidRPr="00323B02">
        <w:rPr>
          <w:rFonts w:asciiTheme="majorHAnsi" w:hAnsiTheme="majorHAnsi"/>
          <w:szCs w:val="22"/>
        </w:rPr>
        <w:t xml:space="preserve">agreed Budget (the Budget is defined as the annual </w:t>
      </w:r>
      <w:r w:rsidR="009425FC" w:rsidRPr="00323B02">
        <w:t xml:space="preserve">construction budget of the project approved by the Lender and will need amending if the loan is permitted to be used for other project costs). </w:t>
      </w:r>
    </w:p>
    <w:p w14:paraId="44B5E5C5" w14:textId="4EFFF362" w:rsidR="00613171" w:rsidRPr="00323B02" w:rsidRDefault="00613171" w:rsidP="00CB2E6D">
      <w:pPr>
        <w:pStyle w:val="BBBodyTextIndent1"/>
        <w:rPr>
          <w:rFonts w:asciiTheme="majorHAnsi" w:hAnsiTheme="majorHAnsi"/>
          <w:szCs w:val="22"/>
        </w:rPr>
      </w:pPr>
      <w:r w:rsidRPr="00323B02">
        <w:rPr>
          <w:rFonts w:asciiTheme="majorHAnsi" w:hAnsiTheme="majorHAnsi"/>
          <w:szCs w:val="22"/>
        </w:rPr>
        <w:t>This gives the Lender control over how its funds are used and ensures they support the intended project.</w:t>
      </w:r>
    </w:p>
    <w:p w14:paraId="54DAE5D7" w14:textId="4C28CA12" w:rsidR="00CB2E6D" w:rsidRPr="00323B02" w:rsidRDefault="00CB2E6D" w:rsidP="00CB2E6D">
      <w:pPr>
        <w:pStyle w:val="BBBodyTextIndent1"/>
        <w:rPr>
          <w:rFonts w:asciiTheme="majorHAnsi" w:hAnsiTheme="majorHAnsi"/>
          <w:szCs w:val="22"/>
        </w:rPr>
      </w:pPr>
      <w:r w:rsidRPr="00323B02">
        <w:rPr>
          <w:rFonts w:asciiTheme="majorHAnsi" w:hAnsiTheme="majorHAnsi"/>
          <w:szCs w:val="22"/>
        </w:rPr>
        <w:t>The clause clarifies that whilst the Borrower must use funds for the specified purpose, the Lender is not obliged to monitor or verify actual use.</w:t>
      </w:r>
    </w:p>
    <w:p w14:paraId="2C1DDFF3" w14:textId="631A7E9A" w:rsidR="00196539" w:rsidRPr="00323B02" w:rsidRDefault="00196539" w:rsidP="00CB2E6D">
      <w:pPr>
        <w:pStyle w:val="BBBodyTextIndent1"/>
        <w:rPr>
          <w:rFonts w:asciiTheme="majorHAnsi" w:hAnsiTheme="majorHAnsi"/>
          <w:szCs w:val="22"/>
        </w:rPr>
      </w:pPr>
      <w:r w:rsidRPr="00323B02">
        <w:rPr>
          <w:rFonts w:asciiTheme="majorHAnsi" w:hAnsiTheme="majorHAnsi"/>
          <w:b/>
          <w:bCs/>
          <w:szCs w:val="22"/>
        </w:rPr>
        <w:t xml:space="preserve">Action Required: </w:t>
      </w:r>
    </w:p>
    <w:p w14:paraId="3AE045E4" w14:textId="2FAC246E" w:rsidR="00CB2E6D" w:rsidRPr="00323B02" w:rsidRDefault="00196539" w:rsidP="00196539">
      <w:pPr>
        <w:pStyle w:val="BBClause2"/>
        <w:numPr>
          <w:ilvl w:val="0"/>
          <w:numId w:val="13"/>
        </w:numPr>
        <w:ind w:left="1080"/>
        <w:rPr>
          <w:rFonts w:asciiTheme="majorHAnsi" w:hAnsiTheme="majorHAnsi"/>
          <w:szCs w:val="22"/>
        </w:rPr>
      </w:pPr>
      <w:r w:rsidRPr="00323B02">
        <w:rPr>
          <w:rFonts w:asciiTheme="majorHAnsi" w:hAnsiTheme="majorHAnsi"/>
          <w:szCs w:val="22"/>
        </w:rPr>
        <w:t xml:space="preserve">Ensure </w:t>
      </w:r>
      <w:r w:rsidR="00CB2E6D" w:rsidRPr="00323B02">
        <w:rPr>
          <w:rFonts w:asciiTheme="majorHAnsi" w:hAnsiTheme="majorHAnsi"/>
          <w:szCs w:val="22"/>
        </w:rPr>
        <w:t xml:space="preserve">the Budget clearly itemises all anticipated </w:t>
      </w:r>
      <w:r w:rsidR="00033740" w:rsidRPr="00323B02">
        <w:rPr>
          <w:rFonts w:asciiTheme="majorHAnsi" w:hAnsiTheme="majorHAnsi"/>
          <w:szCs w:val="22"/>
        </w:rPr>
        <w:t xml:space="preserve">and agreed </w:t>
      </w:r>
      <w:r w:rsidR="00CB2E6D" w:rsidRPr="00323B02">
        <w:rPr>
          <w:rFonts w:asciiTheme="majorHAnsi" w:hAnsiTheme="majorHAnsi"/>
          <w:szCs w:val="22"/>
        </w:rPr>
        <w:t>costs so that the purpose restriction is meaningful. The drawdown request process in clause 5 and the conditions precedent in clause 4 give you practical controls over disbursement.</w:t>
      </w:r>
    </w:p>
    <w:p w14:paraId="6E4F1B98" w14:textId="106600A6" w:rsidR="00CB2E6D" w:rsidRPr="00323B02" w:rsidRDefault="00947CF4" w:rsidP="00CB2E6D">
      <w:pPr>
        <w:pStyle w:val="BBHeading1Lower"/>
        <w:numPr>
          <w:ilvl w:val="1"/>
          <w:numId w:val="8"/>
        </w:numPr>
        <w:rPr>
          <w:rFonts w:asciiTheme="majorHAnsi" w:hAnsiTheme="majorHAnsi"/>
          <w:szCs w:val="22"/>
          <w:u w:val="single"/>
        </w:rPr>
      </w:pPr>
      <w:bookmarkStart w:id="17" w:name="_Toc225518687"/>
      <w:bookmarkEnd w:id="16"/>
      <w:r>
        <w:rPr>
          <w:rFonts w:asciiTheme="majorHAnsi" w:hAnsiTheme="majorHAnsi"/>
          <w:szCs w:val="22"/>
          <w:u w:val="single"/>
        </w:rPr>
        <w:lastRenderedPageBreak/>
        <w:t xml:space="preserve">Clause 4: </w:t>
      </w:r>
      <w:r w:rsidR="00CB2E6D" w:rsidRPr="00323B02">
        <w:rPr>
          <w:rFonts w:asciiTheme="majorHAnsi" w:hAnsiTheme="majorHAnsi"/>
          <w:szCs w:val="22"/>
          <w:u w:val="single"/>
        </w:rPr>
        <w:t>Conditions Precedent</w:t>
      </w:r>
      <w:bookmarkEnd w:id="17"/>
      <w:r w:rsidR="00CB2E6D" w:rsidRPr="00323B02">
        <w:rPr>
          <w:rFonts w:asciiTheme="majorHAnsi" w:hAnsiTheme="majorHAnsi"/>
          <w:szCs w:val="22"/>
          <w:u w:val="single"/>
        </w:rPr>
        <w:t xml:space="preserve"> </w:t>
      </w:r>
    </w:p>
    <w:p w14:paraId="076B3025" w14:textId="6B0E9D59" w:rsidR="00CB2E6D" w:rsidRPr="00323B02" w:rsidRDefault="00CB2E6D" w:rsidP="00CB2E6D">
      <w:pPr>
        <w:pStyle w:val="BBClause2"/>
        <w:ind w:left="720"/>
        <w:rPr>
          <w:rFonts w:asciiTheme="majorHAnsi" w:hAnsiTheme="majorHAnsi"/>
          <w:szCs w:val="22"/>
        </w:rPr>
      </w:pPr>
      <w:r w:rsidRPr="00323B02">
        <w:rPr>
          <w:rFonts w:asciiTheme="majorHAnsi" w:hAnsiTheme="majorHAnsi"/>
          <w:b/>
          <w:bCs/>
          <w:szCs w:val="22"/>
        </w:rPr>
        <w:t xml:space="preserve">Purpose: </w:t>
      </w:r>
      <w:r w:rsidRPr="00323B02">
        <w:rPr>
          <w:rFonts w:asciiTheme="majorHAnsi" w:hAnsiTheme="majorHAnsi"/>
          <w:szCs w:val="22"/>
        </w:rPr>
        <w:t xml:space="preserve">This clause sets out two tiers of conditions that must be satisfied before the Lender is </w:t>
      </w:r>
      <w:r w:rsidR="006E21E2" w:rsidRPr="00323B02">
        <w:rPr>
          <w:rFonts w:asciiTheme="majorHAnsi" w:hAnsiTheme="majorHAnsi"/>
          <w:szCs w:val="22"/>
        </w:rPr>
        <w:t>required</w:t>
      </w:r>
      <w:r w:rsidRPr="00323B02">
        <w:rPr>
          <w:rFonts w:asciiTheme="majorHAnsi" w:hAnsiTheme="majorHAnsi"/>
          <w:szCs w:val="22"/>
        </w:rPr>
        <w:t xml:space="preserve"> to advance funds: (1) initial conditions precedent in Schedule 1 that must be satisfied</w:t>
      </w:r>
      <w:r w:rsidR="006E21E2" w:rsidRPr="00323B02">
        <w:rPr>
          <w:rFonts w:asciiTheme="majorHAnsi" w:hAnsiTheme="majorHAnsi"/>
          <w:szCs w:val="22"/>
        </w:rPr>
        <w:t xml:space="preserve"> (or waived by the Lender)</w:t>
      </w:r>
      <w:r w:rsidRPr="00323B02">
        <w:rPr>
          <w:rFonts w:asciiTheme="majorHAnsi" w:hAnsiTheme="majorHAnsi"/>
          <w:szCs w:val="22"/>
        </w:rPr>
        <w:t xml:space="preserve"> before any drawdown request can be made, and (2) continuing conditions that must be satisfied</w:t>
      </w:r>
      <w:r w:rsidR="006E21E2" w:rsidRPr="00323B02">
        <w:rPr>
          <w:rFonts w:asciiTheme="majorHAnsi" w:hAnsiTheme="majorHAnsi"/>
          <w:szCs w:val="22"/>
        </w:rPr>
        <w:t xml:space="preserve"> (or waived by the Lender)</w:t>
      </w:r>
      <w:r w:rsidRPr="00323B02">
        <w:rPr>
          <w:rFonts w:asciiTheme="majorHAnsi" w:hAnsiTheme="majorHAnsi"/>
          <w:szCs w:val="22"/>
        </w:rPr>
        <w:t xml:space="preserve"> on the date of each drawdown request and each drawdown date.</w:t>
      </w:r>
    </w:p>
    <w:p w14:paraId="05E1B6A7" w14:textId="599AA4C2" w:rsidR="006E21E2" w:rsidRPr="00323B02" w:rsidRDefault="006E21E2" w:rsidP="00CB2E6D">
      <w:pPr>
        <w:pStyle w:val="BBClause2"/>
        <w:ind w:left="720"/>
        <w:rPr>
          <w:rFonts w:asciiTheme="majorHAnsi" w:hAnsiTheme="majorHAnsi"/>
          <w:szCs w:val="22"/>
        </w:rPr>
      </w:pPr>
      <w:r w:rsidRPr="00323B02">
        <w:rPr>
          <w:rFonts w:asciiTheme="majorHAnsi" w:hAnsiTheme="majorHAnsi"/>
          <w:b/>
          <w:bCs/>
          <w:szCs w:val="22"/>
        </w:rPr>
        <w:t xml:space="preserve">Action Required: </w:t>
      </w:r>
    </w:p>
    <w:p w14:paraId="4B4E975F" w14:textId="47637AEB" w:rsidR="006E21E2" w:rsidRPr="00323B02" w:rsidRDefault="006E21E2" w:rsidP="006E21E2">
      <w:pPr>
        <w:pStyle w:val="BBClause2"/>
        <w:numPr>
          <w:ilvl w:val="0"/>
          <w:numId w:val="13"/>
        </w:numPr>
        <w:ind w:left="1080"/>
        <w:rPr>
          <w:rFonts w:asciiTheme="majorHAnsi" w:hAnsiTheme="majorHAnsi"/>
          <w:szCs w:val="22"/>
        </w:rPr>
      </w:pPr>
      <w:r w:rsidRPr="00323B02">
        <w:rPr>
          <w:rFonts w:asciiTheme="majorHAnsi" w:hAnsiTheme="majorHAnsi"/>
          <w:szCs w:val="22"/>
        </w:rPr>
        <w:t>Complete Schedule 1 with all documents and evidence required before initial drawdown (see guidance on Schedule 1 below)</w:t>
      </w:r>
      <w:r w:rsidR="00117628">
        <w:rPr>
          <w:rFonts w:asciiTheme="majorHAnsi" w:hAnsiTheme="majorHAnsi"/>
          <w:szCs w:val="22"/>
        </w:rPr>
        <w:t>.</w:t>
      </w:r>
    </w:p>
    <w:p w14:paraId="46BB6E82" w14:textId="57381FE5" w:rsidR="006E21E2" w:rsidRPr="00323B02" w:rsidRDefault="006E21E2" w:rsidP="006E21E2">
      <w:pPr>
        <w:pStyle w:val="BBClause2"/>
        <w:numPr>
          <w:ilvl w:val="0"/>
          <w:numId w:val="13"/>
        </w:numPr>
        <w:ind w:left="1080"/>
        <w:rPr>
          <w:rFonts w:asciiTheme="majorHAnsi" w:hAnsiTheme="majorHAnsi"/>
          <w:szCs w:val="22"/>
        </w:rPr>
      </w:pPr>
      <w:r w:rsidRPr="00323B02">
        <w:rPr>
          <w:rFonts w:asciiTheme="majorHAnsi" w:hAnsiTheme="majorHAnsi"/>
          <w:szCs w:val="22"/>
        </w:rPr>
        <w:t>Consider whether to include the optional provision at clause 4.2.5 regarding amounts due from Developer to Lender</w:t>
      </w:r>
      <w:r w:rsidR="00117628">
        <w:rPr>
          <w:rFonts w:asciiTheme="majorHAnsi" w:hAnsiTheme="majorHAnsi"/>
          <w:szCs w:val="22"/>
        </w:rPr>
        <w:t>.</w:t>
      </w:r>
    </w:p>
    <w:p w14:paraId="1F8B46B9" w14:textId="25624388" w:rsidR="006E21E2" w:rsidRPr="00323B02" w:rsidRDefault="006E21E2" w:rsidP="006E21E2">
      <w:pPr>
        <w:pStyle w:val="BBClause2"/>
        <w:numPr>
          <w:ilvl w:val="0"/>
          <w:numId w:val="13"/>
        </w:numPr>
        <w:ind w:left="1080"/>
        <w:rPr>
          <w:rFonts w:asciiTheme="majorHAnsi" w:hAnsiTheme="majorHAnsi"/>
          <w:szCs w:val="22"/>
        </w:rPr>
      </w:pPr>
      <w:r w:rsidRPr="00323B02">
        <w:rPr>
          <w:rFonts w:asciiTheme="majorHAnsi" w:hAnsiTheme="majorHAnsi"/>
          <w:szCs w:val="22"/>
        </w:rPr>
        <w:t>Review all conditions to ensure they are appropriate for your project</w:t>
      </w:r>
      <w:r w:rsidR="00117628">
        <w:rPr>
          <w:rFonts w:asciiTheme="majorHAnsi" w:hAnsiTheme="majorHAnsi"/>
          <w:szCs w:val="22"/>
        </w:rPr>
        <w:t>.</w:t>
      </w:r>
      <w:r w:rsidRPr="00323B02">
        <w:rPr>
          <w:rFonts w:asciiTheme="majorHAnsi" w:hAnsiTheme="majorHAnsi"/>
          <w:szCs w:val="22"/>
        </w:rPr>
        <w:t xml:space="preserve"> </w:t>
      </w:r>
    </w:p>
    <w:p w14:paraId="3D24E459" w14:textId="5DD488B5" w:rsidR="006E21E2" w:rsidRPr="00323B02" w:rsidRDefault="006E21E2" w:rsidP="006E21E2">
      <w:pPr>
        <w:pStyle w:val="BBClause2"/>
        <w:numPr>
          <w:ilvl w:val="0"/>
          <w:numId w:val="13"/>
        </w:numPr>
        <w:ind w:left="1080"/>
        <w:rPr>
          <w:rFonts w:asciiTheme="majorHAnsi" w:hAnsiTheme="majorHAnsi"/>
          <w:szCs w:val="22"/>
        </w:rPr>
      </w:pPr>
      <w:r w:rsidRPr="00323B02">
        <w:rPr>
          <w:rFonts w:asciiTheme="majorHAnsi" w:hAnsiTheme="majorHAnsi"/>
          <w:szCs w:val="22"/>
        </w:rPr>
        <w:t>If you need additional conditions, add them to clause 4.2 or Schedule 1 as appropriate.</w:t>
      </w:r>
    </w:p>
    <w:p w14:paraId="040288FF" w14:textId="68A392D9" w:rsidR="006A3F40" w:rsidRPr="00323B02" w:rsidRDefault="006A3F40" w:rsidP="006E21E2">
      <w:pPr>
        <w:pStyle w:val="BBClause2"/>
        <w:numPr>
          <w:ilvl w:val="0"/>
          <w:numId w:val="13"/>
        </w:numPr>
        <w:ind w:left="1080"/>
        <w:rPr>
          <w:rFonts w:asciiTheme="majorHAnsi" w:hAnsiTheme="majorHAnsi"/>
          <w:szCs w:val="22"/>
        </w:rPr>
      </w:pPr>
      <w:r w:rsidRPr="00323B02">
        <w:rPr>
          <w:rFonts w:asciiTheme="majorHAnsi" w:hAnsiTheme="majorHAnsi"/>
          <w:szCs w:val="22"/>
        </w:rPr>
        <w:t xml:space="preserve">Clause 4.2.6 assumes that you and the Developer also have a Shared Revenue Agreement in place. Consider whether to delete this clause or replace the reference if you are using </w:t>
      </w:r>
      <w:r w:rsidR="0033295C" w:rsidRPr="00323B02">
        <w:rPr>
          <w:rFonts w:asciiTheme="majorHAnsi" w:hAnsiTheme="majorHAnsi"/>
          <w:szCs w:val="22"/>
        </w:rPr>
        <w:t>th</w:t>
      </w:r>
      <w:r w:rsidR="0033295C">
        <w:rPr>
          <w:rFonts w:asciiTheme="majorHAnsi" w:hAnsiTheme="majorHAnsi"/>
          <w:szCs w:val="22"/>
        </w:rPr>
        <w:t>e</w:t>
      </w:r>
      <w:r w:rsidR="0033295C" w:rsidRPr="00323B02">
        <w:rPr>
          <w:rFonts w:asciiTheme="majorHAnsi" w:hAnsiTheme="majorHAnsi"/>
          <w:szCs w:val="22"/>
        </w:rPr>
        <w:t xml:space="preserve"> </w:t>
      </w:r>
      <w:r w:rsidRPr="00323B02">
        <w:rPr>
          <w:rFonts w:asciiTheme="majorHAnsi" w:hAnsiTheme="majorHAnsi"/>
          <w:szCs w:val="22"/>
        </w:rPr>
        <w:t xml:space="preserve">Agreement in a different context. </w:t>
      </w:r>
    </w:p>
    <w:p w14:paraId="4B588853" w14:textId="13E74E19" w:rsidR="006E21E2" w:rsidRPr="00323B02" w:rsidRDefault="006E21E2" w:rsidP="006E21E2">
      <w:pPr>
        <w:pStyle w:val="BBClause2"/>
        <w:ind w:left="720"/>
        <w:rPr>
          <w:rFonts w:asciiTheme="majorHAnsi" w:hAnsiTheme="majorHAnsi"/>
          <w:szCs w:val="22"/>
        </w:rPr>
      </w:pPr>
      <w:r w:rsidRPr="00323B02">
        <w:rPr>
          <w:rFonts w:asciiTheme="majorHAnsi" w:hAnsiTheme="majorHAnsi"/>
          <w:szCs w:val="22"/>
        </w:rPr>
        <w:t xml:space="preserve">The Lender has the sole right to waive these conditions, giving it full control over whether to advance funds if any conditions precedent have not been met. </w:t>
      </w:r>
    </w:p>
    <w:p w14:paraId="5193EC6D" w14:textId="171F3ABE" w:rsidR="006E21E2" w:rsidRPr="00323B02" w:rsidRDefault="006E21E2" w:rsidP="006E21E2">
      <w:pPr>
        <w:pStyle w:val="BBClause2"/>
        <w:ind w:left="720"/>
        <w:rPr>
          <w:rFonts w:asciiTheme="majorHAnsi" w:hAnsiTheme="majorHAnsi"/>
          <w:szCs w:val="22"/>
        </w:rPr>
      </w:pPr>
      <w:r w:rsidRPr="00323B02">
        <w:rPr>
          <w:rFonts w:asciiTheme="majorHAnsi" w:hAnsiTheme="majorHAnsi"/>
          <w:b/>
          <w:bCs/>
          <w:szCs w:val="22"/>
        </w:rPr>
        <w:t>Guidance to CEG:</w:t>
      </w:r>
      <w:r w:rsidRPr="00323B02">
        <w:rPr>
          <w:rFonts w:asciiTheme="majorHAnsi" w:hAnsiTheme="majorHAnsi"/>
          <w:szCs w:val="22"/>
        </w:rPr>
        <w:t xml:space="preserve"> These conditions are critical protections. The requirement to verify that each drawdown is provided for in the Budget and within cost category limits gives you control over project spending. The Project Contingency control prevents double-dipping. The link to the Shared Revenue Agreement</w:t>
      </w:r>
      <w:r w:rsidR="006A3F40" w:rsidRPr="00323B02">
        <w:rPr>
          <w:rFonts w:asciiTheme="majorHAnsi" w:hAnsiTheme="majorHAnsi"/>
          <w:szCs w:val="22"/>
        </w:rPr>
        <w:t xml:space="preserve"> (or other agreement as appropriate) at clause 4.2.6</w:t>
      </w:r>
      <w:r w:rsidRPr="00323B02">
        <w:rPr>
          <w:rFonts w:asciiTheme="majorHAnsi" w:hAnsiTheme="majorHAnsi"/>
          <w:szCs w:val="22"/>
        </w:rPr>
        <w:t xml:space="preserve"> ensures consistency between </w:t>
      </w:r>
      <w:r w:rsidR="006A3F40" w:rsidRPr="00323B02">
        <w:rPr>
          <w:rFonts w:asciiTheme="majorHAnsi" w:hAnsiTheme="majorHAnsi"/>
          <w:szCs w:val="22"/>
        </w:rPr>
        <w:t>your</w:t>
      </w:r>
      <w:r w:rsidRPr="00323B02">
        <w:rPr>
          <w:rFonts w:asciiTheme="majorHAnsi" w:hAnsiTheme="majorHAnsi"/>
          <w:szCs w:val="22"/>
        </w:rPr>
        <w:t xml:space="preserve"> agreements. Review each drawdown request carefully and require supporting documentation to verify compliance with these conditions.</w:t>
      </w:r>
    </w:p>
    <w:p w14:paraId="40F9B8BF" w14:textId="061C6826" w:rsidR="006A3F40" w:rsidRPr="00323B02" w:rsidRDefault="006A3F40" w:rsidP="00DD5F9A">
      <w:pPr>
        <w:pStyle w:val="BBHeading1Lower"/>
        <w:numPr>
          <w:ilvl w:val="1"/>
          <w:numId w:val="8"/>
        </w:numPr>
        <w:rPr>
          <w:rFonts w:asciiTheme="majorHAnsi" w:hAnsiTheme="majorHAnsi"/>
          <w:szCs w:val="22"/>
          <w:u w:val="single"/>
        </w:rPr>
      </w:pPr>
      <w:bookmarkStart w:id="18" w:name="_Toc225518688"/>
      <w:r w:rsidRPr="00323B02">
        <w:rPr>
          <w:rFonts w:asciiTheme="majorHAnsi" w:hAnsiTheme="majorHAnsi"/>
          <w:szCs w:val="22"/>
          <w:u w:val="single"/>
        </w:rPr>
        <w:t>Clause 5: Drawing</w:t>
      </w:r>
      <w:bookmarkEnd w:id="18"/>
      <w:r w:rsidRPr="00323B02">
        <w:rPr>
          <w:rFonts w:asciiTheme="majorHAnsi" w:hAnsiTheme="majorHAnsi"/>
          <w:szCs w:val="22"/>
          <w:u w:val="single"/>
        </w:rPr>
        <w:t xml:space="preserve"> </w:t>
      </w:r>
    </w:p>
    <w:p w14:paraId="63A626BA" w14:textId="7AF06117" w:rsidR="00DD5F9A" w:rsidRPr="00323B02" w:rsidRDefault="00DD5F9A" w:rsidP="00757F67">
      <w:pPr>
        <w:pStyle w:val="BBBodyTextIndent1"/>
        <w:rPr>
          <w:rFonts w:asciiTheme="majorHAnsi" w:hAnsiTheme="majorHAnsi"/>
          <w:szCs w:val="22"/>
        </w:rPr>
      </w:pPr>
      <w:r w:rsidRPr="00323B02">
        <w:rPr>
          <w:rFonts w:asciiTheme="majorHAnsi" w:hAnsiTheme="majorHAnsi"/>
          <w:b/>
          <w:bCs/>
          <w:szCs w:val="22"/>
        </w:rPr>
        <w:t xml:space="preserve">Purpose: </w:t>
      </w:r>
      <w:r w:rsidRPr="00323B02">
        <w:rPr>
          <w:rFonts w:asciiTheme="majorHAnsi" w:hAnsiTheme="majorHAnsi"/>
          <w:szCs w:val="22"/>
        </w:rPr>
        <w:t>This clause sets out the mechanics for the Borrower to request and receive loan advances during the Availability Period.</w:t>
      </w:r>
      <w:r w:rsidR="00B644CE" w:rsidRPr="00323B02">
        <w:rPr>
          <w:rFonts w:asciiTheme="majorHAnsi" w:hAnsiTheme="majorHAnsi"/>
          <w:szCs w:val="22"/>
        </w:rPr>
        <w:t xml:space="preserve"> </w:t>
      </w:r>
      <w:r w:rsidR="00757F67" w:rsidRPr="00323B02">
        <w:rPr>
          <w:rFonts w:asciiTheme="majorHAnsi" w:hAnsiTheme="majorHAnsi"/>
          <w:szCs w:val="22"/>
        </w:rPr>
        <w:t xml:space="preserve"> It specifies that each drawdown request must be made in the form set out in Schedule 2 and must include specified information and supporting documentation. Importantly, when the Borrower submits a drawdown request, it makes representations and warranties to the Lender that all conditions precedent in clause 4.2 are satisfied. This clause </w:t>
      </w:r>
      <w:r w:rsidRPr="00323B02">
        <w:rPr>
          <w:rFonts w:asciiTheme="majorHAnsi" w:hAnsiTheme="majorHAnsi"/>
          <w:szCs w:val="22"/>
        </w:rPr>
        <w:t xml:space="preserve">also </w:t>
      </w:r>
      <w:r w:rsidR="00B644CE" w:rsidRPr="00323B02">
        <w:rPr>
          <w:rFonts w:asciiTheme="majorHAnsi" w:hAnsiTheme="majorHAnsi"/>
          <w:szCs w:val="22"/>
        </w:rPr>
        <w:t xml:space="preserve">ensures that any undrawn (i.e. unused) facility amount is automatically cancelled at the end of the Availability Period. </w:t>
      </w:r>
    </w:p>
    <w:p w14:paraId="2DC505EC" w14:textId="13B4E29D" w:rsidR="00757F67" w:rsidRPr="00323B02" w:rsidRDefault="00757F67" w:rsidP="00757F67">
      <w:pPr>
        <w:pStyle w:val="BBBodyTextIndent1"/>
        <w:rPr>
          <w:rFonts w:asciiTheme="majorHAnsi" w:hAnsiTheme="majorHAnsi"/>
          <w:szCs w:val="22"/>
        </w:rPr>
      </w:pPr>
      <w:r w:rsidRPr="00323B02">
        <w:rPr>
          <w:rFonts w:asciiTheme="majorHAnsi" w:hAnsiTheme="majorHAnsi"/>
          <w:b/>
          <w:bCs/>
          <w:szCs w:val="22"/>
        </w:rPr>
        <w:t xml:space="preserve">Action Required: </w:t>
      </w:r>
    </w:p>
    <w:p w14:paraId="29B88A6D" w14:textId="2AD37B44" w:rsidR="00757F67" w:rsidRPr="00323B02" w:rsidRDefault="00757F67" w:rsidP="00757F67">
      <w:pPr>
        <w:pStyle w:val="BBClause2"/>
        <w:numPr>
          <w:ilvl w:val="0"/>
          <w:numId w:val="13"/>
        </w:numPr>
        <w:ind w:left="1080"/>
        <w:rPr>
          <w:rFonts w:asciiTheme="majorHAnsi" w:hAnsiTheme="majorHAnsi"/>
          <w:szCs w:val="22"/>
        </w:rPr>
      </w:pPr>
      <w:r w:rsidRPr="00323B02">
        <w:rPr>
          <w:rFonts w:asciiTheme="majorHAnsi" w:hAnsiTheme="majorHAnsi"/>
          <w:szCs w:val="22"/>
        </w:rPr>
        <w:t>Insert the number of Business Days' notice required for drawdown requests</w:t>
      </w:r>
      <w:r w:rsidR="00117628">
        <w:rPr>
          <w:rFonts w:asciiTheme="majorHAnsi" w:hAnsiTheme="majorHAnsi"/>
          <w:szCs w:val="22"/>
        </w:rPr>
        <w:t>.</w:t>
      </w:r>
    </w:p>
    <w:p w14:paraId="5BC489D0" w14:textId="0E2CAB29" w:rsidR="00757F67" w:rsidRPr="00323B02" w:rsidRDefault="00757F67" w:rsidP="00757F67">
      <w:pPr>
        <w:pStyle w:val="BBClause2"/>
        <w:numPr>
          <w:ilvl w:val="0"/>
          <w:numId w:val="13"/>
        </w:numPr>
        <w:ind w:left="1080"/>
        <w:rPr>
          <w:rFonts w:asciiTheme="majorHAnsi" w:hAnsiTheme="majorHAnsi"/>
          <w:szCs w:val="22"/>
        </w:rPr>
      </w:pPr>
      <w:r w:rsidRPr="00323B02">
        <w:rPr>
          <w:rFonts w:asciiTheme="majorHAnsi" w:hAnsiTheme="majorHAnsi"/>
          <w:szCs w:val="22"/>
        </w:rPr>
        <w:t>Consider the text in square brackets at clause 5.2, which explains that the CEG failing to advance a Loan if all terms and conditions of the Facility Agreement have been met is not a breach of the Revenue Sharing Agreement (or other relevant agreement</w:t>
      </w:r>
      <w:r w:rsidR="00C00906" w:rsidRPr="00323B02">
        <w:rPr>
          <w:rFonts w:asciiTheme="majorHAnsi" w:hAnsiTheme="majorHAnsi"/>
          <w:szCs w:val="22"/>
        </w:rPr>
        <w:t>)</w:t>
      </w:r>
      <w:r w:rsidRPr="00323B02">
        <w:rPr>
          <w:rFonts w:asciiTheme="majorHAnsi" w:hAnsiTheme="majorHAnsi"/>
          <w:szCs w:val="22"/>
        </w:rPr>
        <w:t>; delete if there is no other relevant agreement in place, or replace the reference to the Revenue Sharing Agreement if necessary</w:t>
      </w:r>
      <w:r w:rsidR="00117628">
        <w:rPr>
          <w:rFonts w:asciiTheme="majorHAnsi" w:hAnsiTheme="majorHAnsi"/>
          <w:szCs w:val="22"/>
        </w:rPr>
        <w:t>.</w:t>
      </w:r>
      <w:r w:rsidRPr="00323B02">
        <w:rPr>
          <w:rFonts w:asciiTheme="majorHAnsi" w:hAnsiTheme="majorHAnsi"/>
          <w:szCs w:val="22"/>
        </w:rPr>
        <w:t xml:space="preserve"> </w:t>
      </w:r>
    </w:p>
    <w:p w14:paraId="27A33BDC" w14:textId="62AEF3FF" w:rsidR="00757F67" w:rsidRPr="00323B02" w:rsidRDefault="00757F67" w:rsidP="00757F67">
      <w:pPr>
        <w:pStyle w:val="BBClause2"/>
        <w:numPr>
          <w:ilvl w:val="0"/>
          <w:numId w:val="13"/>
        </w:numPr>
        <w:ind w:left="1080"/>
        <w:rPr>
          <w:rFonts w:asciiTheme="majorHAnsi" w:hAnsiTheme="majorHAnsi"/>
          <w:szCs w:val="22"/>
        </w:rPr>
      </w:pPr>
      <w:r w:rsidRPr="00323B02">
        <w:rPr>
          <w:rFonts w:asciiTheme="majorHAnsi" w:hAnsiTheme="majorHAnsi"/>
          <w:szCs w:val="22"/>
        </w:rPr>
        <w:lastRenderedPageBreak/>
        <w:t>Insert the number of Business Days within which administrative/technical failures to pay must be remedied (if including the optional provision in clause 5.2)</w:t>
      </w:r>
      <w:r w:rsidR="00117628">
        <w:rPr>
          <w:rFonts w:asciiTheme="majorHAnsi" w:hAnsiTheme="majorHAnsi"/>
          <w:szCs w:val="22"/>
        </w:rPr>
        <w:t>.</w:t>
      </w:r>
    </w:p>
    <w:p w14:paraId="6D414972" w14:textId="6CD36F00" w:rsidR="00757F67" w:rsidRPr="00323B02" w:rsidRDefault="00757F67" w:rsidP="00757F67">
      <w:pPr>
        <w:pStyle w:val="BBClause2"/>
        <w:numPr>
          <w:ilvl w:val="0"/>
          <w:numId w:val="13"/>
        </w:numPr>
        <w:ind w:left="1080"/>
        <w:rPr>
          <w:rFonts w:asciiTheme="majorHAnsi" w:hAnsiTheme="majorHAnsi"/>
          <w:szCs w:val="22"/>
        </w:rPr>
      </w:pPr>
      <w:r w:rsidRPr="00323B02">
        <w:rPr>
          <w:rFonts w:asciiTheme="majorHAnsi" w:hAnsiTheme="majorHAnsi"/>
          <w:szCs w:val="22"/>
        </w:rPr>
        <w:t>Review Schedule 2 (Form of Drawdown Request) and tailor as needed</w:t>
      </w:r>
      <w:r w:rsidR="00117628">
        <w:rPr>
          <w:rFonts w:asciiTheme="majorHAnsi" w:hAnsiTheme="majorHAnsi"/>
          <w:szCs w:val="22"/>
        </w:rPr>
        <w:t>.</w:t>
      </w:r>
    </w:p>
    <w:p w14:paraId="6AA15C97" w14:textId="77777777" w:rsidR="00CC5346" w:rsidRPr="00323B02" w:rsidRDefault="00CC5346" w:rsidP="00CC5346">
      <w:pPr>
        <w:pStyle w:val="BBClause2"/>
        <w:ind w:left="720"/>
        <w:rPr>
          <w:rFonts w:asciiTheme="majorHAnsi" w:hAnsiTheme="majorHAnsi"/>
          <w:szCs w:val="22"/>
        </w:rPr>
      </w:pPr>
      <w:r w:rsidRPr="00323B02">
        <w:rPr>
          <w:rFonts w:asciiTheme="majorHAnsi" w:hAnsiTheme="majorHAnsi"/>
          <w:b/>
          <w:bCs/>
          <w:szCs w:val="22"/>
        </w:rPr>
        <w:t>Guidance to CEG:</w:t>
      </w:r>
      <w:r w:rsidRPr="00323B02">
        <w:rPr>
          <w:rFonts w:asciiTheme="majorHAnsi" w:hAnsiTheme="majorHAnsi"/>
          <w:szCs w:val="22"/>
        </w:rPr>
        <w:t xml:space="preserve"> The irrevocable nature of drawdown requests protects you from the Borrower changing its mind after you have prepared to advance funds. However, your obligation to advance is conditional on all the conditions precedent being satisfied - if they are not, you have no obligation to lend. Maintain careful records of all drawdowns to track amounts advanced against the Total Facility Amount and the Budget categories.</w:t>
      </w:r>
    </w:p>
    <w:p w14:paraId="2B47F82C" w14:textId="2DC6E020" w:rsidR="00DE47E9" w:rsidRPr="00323B02" w:rsidRDefault="00DE47E9" w:rsidP="00DE47E9">
      <w:pPr>
        <w:pStyle w:val="BBHeading1Lower"/>
        <w:numPr>
          <w:ilvl w:val="1"/>
          <w:numId w:val="8"/>
        </w:numPr>
        <w:rPr>
          <w:rFonts w:asciiTheme="majorHAnsi" w:hAnsiTheme="majorHAnsi"/>
          <w:szCs w:val="22"/>
          <w:u w:val="single"/>
        </w:rPr>
      </w:pPr>
      <w:bookmarkStart w:id="19" w:name="_Toc225518689"/>
      <w:r w:rsidRPr="00323B02">
        <w:rPr>
          <w:rFonts w:asciiTheme="majorHAnsi" w:hAnsiTheme="majorHAnsi"/>
          <w:szCs w:val="22"/>
          <w:u w:val="single"/>
        </w:rPr>
        <w:t>Clause 6: Interest</w:t>
      </w:r>
      <w:bookmarkEnd w:id="19"/>
      <w:r w:rsidRPr="00323B02">
        <w:rPr>
          <w:rFonts w:asciiTheme="majorHAnsi" w:hAnsiTheme="majorHAnsi"/>
          <w:szCs w:val="22"/>
          <w:u w:val="single"/>
        </w:rPr>
        <w:t xml:space="preserve"> </w:t>
      </w:r>
    </w:p>
    <w:p w14:paraId="08C49AC3" w14:textId="036B16B0" w:rsidR="007C1C9E" w:rsidRPr="00323B02" w:rsidRDefault="00DE47E9" w:rsidP="007C1C9E">
      <w:pPr>
        <w:pStyle w:val="BBBodyTextIndent1"/>
        <w:rPr>
          <w:rFonts w:asciiTheme="majorHAnsi" w:hAnsiTheme="majorHAnsi"/>
          <w:b/>
          <w:bCs/>
          <w:szCs w:val="22"/>
        </w:rPr>
      </w:pPr>
      <w:r w:rsidRPr="00323B02">
        <w:rPr>
          <w:rFonts w:asciiTheme="majorHAnsi" w:hAnsiTheme="majorHAnsi"/>
          <w:b/>
          <w:bCs/>
          <w:szCs w:val="22"/>
        </w:rPr>
        <w:t xml:space="preserve">Purpose: </w:t>
      </w:r>
      <w:r w:rsidR="007C1C9E" w:rsidRPr="00323B02">
        <w:rPr>
          <w:rFonts w:asciiTheme="majorHAnsi" w:hAnsiTheme="majorHAnsi"/>
          <w:szCs w:val="22"/>
        </w:rPr>
        <w:t xml:space="preserve">This clause sets out </w:t>
      </w:r>
      <w:r w:rsidR="0004672B" w:rsidRPr="00323B02">
        <w:rPr>
          <w:rFonts w:asciiTheme="majorHAnsi" w:hAnsiTheme="majorHAnsi"/>
          <w:szCs w:val="22"/>
        </w:rPr>
        <w:t xml:space="preserve">(1) </w:t>
      </w:r>
      <w:r w:rsidR="007C1C9E" w:rsidRPr="00323B02">
        <w:rPr>
          <w:rFonts w:asciiTheme="majorHAnsi" w:hAnsiTheme="majorHAnsi"/>
          <w:szCs w:val="22"/>
        </w:rPr>
        <w:t>the interest rate payable on the loan</w:t>
      </w:r>
      <w:r w:rsidR="0004672B" w:rsidRPr="00323B02">
        <w:rPr>
          <w:rFonts w:asciiTheme="majorHAnsi" w:hAnsiTheme="majorHAnsi"/>
          <w:szCs w:val="22"/>
        </w:rPr>
        <w:t>; (2)</w:t>
      </w:r>
      <w:r w:rsidR="005A7F4F" w:rsidRPr="00323B02">
        <w:rPr>
          <w:rFonts w:asciiTheme="majorHAnsi" w:hAnsiTheme="majorHAnsi"/>
          <w:szCs w:val="22"/>
        </w:rPr>
        <w:t xml:space="preserve"> </w:t>
      </w:r>
      <w:r w:rsidR="00BF5132" w:rsidRPr="00323B02">
        <w:rPr>
          <w:rFonts w:asciiTheme="majorHAnsi" w:hAnsiTheme="majorHAnsi"/>
          <w:szCs w:val="22"/>
        </w:rPr>
        <w:t>t</w:t>
      </w:r>
      <w:r w:rsidR="005A7F4F" w:rsidRPr="00323B02">
        <w:rPr>
          <w:rFonts w:asciiTheme="majorHAnsi" w:hAnsiTheme="majorHAnsi"/>
          <w:szCs w:val="22"/>
        </w:rPr>
        <w:t>he interest rate payable on late payments</w:t>
      </w:r>
      <w:r w:rsidR="0004672B" w:rsidRPr="00323B02">
        <w:rPr>
          <w:rFonts w:asciiTheme="majorHAnsi" w:hAnsiTheme="majorHAnsi"/>
          <w:szCs w:val="22"/>
        </w:rPr>
        <w:t>;</w:t>
      </w:r>
      <w:r w:rsidR="007C1C9E" w:rsidRPr="00323B02">
        <w:rPr>
          <w:rFonts w:asciiTheme="majorHAnsi" w:hAnsiTheme="majorHAnsi"/>
          <w:szCs w:val="22"/>
        </w:rPr>
        <w:t xml:space="preserve"> and</w:t>
      </w:r>
      <w:r w:rsidR="0004672B" w:rsidRPr="00323B02">
        <w:rPr>
          <w:rFonts w:asciiTheme="majorHAnsi" w:hAnsiTheme="majorHAnsi"/>
          <w:szCs w:val="22"/>
        </w:rPr>
        <w:t xml:space="preserve"> (3)</w:t>
      </w:r>
      <w:r w:rsidR="007C1C9E" w:rsidRPr="00323B02">
        <w:rPr>
          <w:rFonts w:asciiTheme="majorHAnsi" w:hAnsiTheme="majorHAnsi"/>
          <w:szCs w:val="22"/>
        </w:rPr>
        <w:t xml:space="preserve"> when interest is due.</w:t>
      </w:r>
    </w:p>
    <w:p w14:paraId="022968D0" w14:textId="665663C3" w:rsidR="007C1C9E" w:rsidRPr="00323B02" w:rsidRDefault="007C1C9E" w:rsidP="007C1C9E">
      <w:pPr>
        <w:pStyle w:val="BBBodyTextIndent1"/>
        <w:rPr>
          <w:rFonts w:asciiTheme="majorHAnsi" w:hAnsiTheme="majorHAnsi"/>
          <w:szCs w:val="22"/>
        </w:rPr>
      </w:pPr>
      <w:r w:rsidRPr="00323B02">
        <w:rPr>
          <w:rFonts w:asciiTheme="majorHAnsi" w:hAnsiTheme="majorHAnsi"/>
          <w:b/>
          <w:bCs/>
          <w:szCs w:val="22"/>
        </w:rPr>
        <w:t xml:space="preserve">Action Required: </w:t>
      </w:r>
    </w:p>
    <w:p w14:paraId="71871501" w14:textId="5EA0DD24" w:rsidR="007C1C9E" w:rsidRPr="00323B02" w:rsidRDefault="007C1C9E" w:rsidP="007C1C9E">
      <w:pPr>
        <w:pStyle w:val="BBClause2"/>
        <w:numPr>
          <w:ilvl w:val="0"/>
          <w:numId w:val="13"/>
        </w:numPr>
        <w:ind w:left="1080"/>
        <w:rPr>
          <w:rFonts w:asciiTheme="majorHAnsi" w:hAnsiTheme="majorHAnsi"/>
          <w:szCs w:val="22"/>
        </w:rPr>
      </w:pPr>
      <w:r w:rsidRPr="00323B02">
        <w:rPr>
          <w:rFonts w:asciiTheme="majorHAnsi" w:hAnsiTheme="majorHAnsi"/>
          <w:szCs w:val="22"/>
        </w:rPr>
        <w:t>Insert the interest rate percentage</w:t>
      </w:r>
      <w:r w:rsidR="00BF5132" w:rsidRPr="00323B02">
        <w:rPr>
          <w:rFonts w:asciiTheme="majorHAnsi" w:hAnsiTheme="majorHAnsi"/>
          <w:szCs w:val="22"/>
        </w:rPr>
        <w:t xml:space="preserve"> payable on the loan</w:t>
      </w:r>
      <w:r w:rsidR="00117628">
        <w:rPr>
          <w:rFonts w:asciiTheme="majorHAnsi" w:hAnsiTheme="majorHAnsi"/>
          <w:szCs w:val="22"/>
        </w:rPr>
        <w:t>.</w:t>
      </w:r>
    </w:p>
    <w:p w14:paraId="663DC59E" w14:textId="59447F76" w:rsidR="007C1C9E" w:rsidRPr="00323B02" w:rsidRDefault="007C1C9E" w:rsidP="007C1C9E">
      <w:pPr>
        <w:pStyle w:val="BBClause2"/>
        <w:numPr>
          <w:ilvl w:val="0"/>
          <w:numId w:val="13"/>
        </w:numPr>
        <w:ind w:left="1080"/>
        <w:rPr>
          <w:rFonts w:asciiTheme="majorHAnsi" w:hAnsiTheme="majorHAnsi"/>
          <w:szCs w:val="22"/>
        </w:rPr>
      </w:pPr>
      <w:r w:rsidRPr="00323B02">
        <w:rPr>
          <w:rFonts w:asciiTheme="majorHAnsi" w:hAnsiTheme="majorHAnsi"/>
          <w:szCs w:val="22"/>
        </w:rPr>
        <w:t>Decide whether interest is a fixed percentage or calculated as a margin above the Bank of England's Base Rate</w:t>
      </w:r>
      <w:r w:rsidR="00117628">
        <w:rPr>
          <w:rFonts w:asciiTheme="majorHAnsi" w:hAnsiTheme="majorHAnsi"/>
          <w:szCs w:val="22"/>
        </w:rPr>
        <w:t>.</w:t>
      </w:r>
    </w:p>
    <w:p w14:paraId="6AD31AC8" w14:textId="51BD0560" w:rsidR="007C1C9E" w:rsidRPr="00323B02" w:rsidRDefault="007C1C9E" w:rsidP="007C1C9E">
      <w:pPr>
        <w:pStyle w:val="BBClause2"/>
        <w:numPr>
          <w:ilvl w:val="0"/>
          <w:numId w:val="13"/>
        </w:numPr>
        <w:ind w:left="1080"/>
        <w:rPr>
          <w:rFonts w:asciiTheme="majorHAnsi" w:hAnsiTheme="majorHAnsi"/>
          <w:szCs w:val="22"/>
        </w:rPr>
      </w:pPr>
      <w:r w:rsidRPr="00323B02">
        <w:rPr>
          <w:rFonts w:asciiTheme="majorHAnsi" w:hAnsiTheme="majorHAnsi"/>
          <w:szCs w:val="22"/>
        </w:rPr>
        <w:t>If using a variable rate, ensure the Bank of England's Bank Rate definition is included in clause 1.</w:t>
      </w:r>
    </w:p>
    <w:p w14:paraId="24987E04" w14:textId="50159D94" w:rsidR="007C1C9E" w:rsidRPr="00323B02" w:rsidRDefault="007C1C9E" w:rsidP="007C1C9E">
      <w:pPr>
        <w:pStyle w:val="BBBodyTextIndent1"/>
        <w:rPr>
          <w:rFonts w:asciiTheme="majorHAnsi" w:hAnsiTheme="majorHAnsi"/>
          <w:szCs w:val="22"/>
        </w:rPr>
      </w:pPr>
      <w:r w:rsidRPr="00323B02">
        <w:rPr>
          <w:rFonts w:asciiTheme="majorHAnsi" w:hAnsiTheme="majorHAnsi"/>
          <w:szCs w:val="22"/>
        </w:rPr>
        <w:t>Interest accrues daily on each loan at the specified rate and is payable in full on the Repayment Date.</w:t>
      </w:r>
    </w:p>
    <w:p w14:paraId="09273579" w14:textId="77777777" w:rsidR="007C1C9E" w:rsidRPr="00323B02" w:rsidRDefault="007C1C9E" w:rsidP="007C1C9E">
      <w:pPr>
        <w:pStyle w:val="BBBodyTextIndent1"/>
        <w:rPr>
          <w:rFonts w:asciiTheme="majorHAnsi" w:hAnsiTheme="majorHAnsi"/>
          <w:szCs w:val="22"/>
        </w:rPr>
      </w:pPr>
      <w:r w:rsidRPr="00323B02">
        <w:rPr>
          <w:rFonts w:asciiTheme="majorHAnsi" w:hAnsiTheme="majorHAnsi"/>
          <w:szCs w:val="22"/>
        </w:rPr>
        <w:t>Default interest at 2% above the normal rate applies if any payment under the Agreement is late, payable on demand. This incentivises timely payment and compensates the Lender for the increased credit risk and administrative burden of late payment.</w:t>
      </w:r>
    </w:p>
    <w:p w14:paraId="618A6875" w14:textId="53DCFBB7" w:rsidR="007C1C9E" w:rsidRPr="00323B02" w:rsidRDefault="007C1C9E" w:rsidP="00100251">
      <w:pPr>
        <w:pStyle w:val="BBBodyTextIndent1"/>
      </w:pPr>
      <w:r w:rsidRPr="00323B02">
        <w:rPr>
          <w:rFonts w:asciiTheme="majorHAnsi" w:hAnsiTheme="majorHAnsi"/>
          <w:b/>
          <w:bCs/>
          <w:szCs w:val="22"/>
        </w:rPr>
        <w:t>Guidance to CEG:</w:t>
      </w:r>
      <w:r w:rsidRPr="00323B02">
        <w:rPr>
          <w:rFonts w:asciiTheme="majorHAnsi" w:hAnsiTheme="majorHAnsi"/>
          <w:szCs w:val="22"/>
        </w:rPr>
        <w:t xml:space="preserve"> Consider carefully what interest rate is appropriate given the risk profile of the project, the security you are taking, and the return your members expect. A fixed rate provides certainty for both parties. A variable rate linked to Bank of England Base Rate means your return adjusts with broader economic conditions but creates uncertainty for financial planning. Discuss with your financial advisers to determine the appropriate rate for your organisation's investment objectives.</w:t>
      </w:r>
    </w:p>
    <w:p w14:paraId="77991A25" w14:textId="75DE706E" w:rsidR="00CC5346" w:rsidRPr="00323B02" w:rsidRDefault="007C1C9E" w:rsidP="007C1C9E">
      <w:pPr>
        <w:pStyle w:val="BBHeading1Lower"/>
        <w:numPr>
          <w:ilvl w:val="1"/>
          <w:numId w:val="8"/>
        </w:numPr>
        <w:rPr>
          <w:rFonts w:asciiTheme="majorHAnsi" w:hAnsiTheme="majorHAnsi"/>
          <w:b w:val="0"/>
          <w:bCs/>
          <w:szCs w:val="22"/>
          <w:u w:val="single"/>
        </w:rPr>
      </w:pPr>
      <w:bookmarkStart w:id="20" w:name="_Toc225518690"/>
      <w:r w:rsidRPr="00323B02">
        <w:rPr>
          <w:rFonts w:asciiTheme="majorHAnsi" w:hAnsiTheme="majorHAnsi"/>
          <w:szCs w:val="22"/>
          <w:u w:val="single"/>
        </w:rPr>
        <w:t>Clause 7: Repayment</w:t>
      </w:r>
      <w:bookmarkEnd w:id="20"/>
      <w:r w:rsidRPr="00323B02">
        <w:rPr>
          <w:rFonts w:asciiTheme="majorHAnsi" w:hAnsiTheme="majorHAnsi"/>
          <w:b w:val="0"/>
          <w:bCs/>
          <w:szCs w:val="22"/>
          <w:u w:val="single"/>
        </w:rPr>
        <w:t xml:space="preserve"> </w:t>
      </w:r>
    </w:p>
    <w:p w14:paraId="501FFB32" w14:textId="77777777" w:rsidR="007C1C9E" w:rsidRPr="00323B02" w:rsidRDefault="007C1C9E" w:rsidP="007C1C9E">
      <w:pPr>
        <w:pStyle w:val="BBBodyTextIndent1"/>
        <w:rPr>
          <w:rFonts w:asciiTheme="majorHAnsi" w:hAnsiTheme="majorHAnsi"/>
          <w:szCs w:val="22"/>
        </w:rPr>
      </w:pPr>
      <w:r w:rsidRPr="00323B02">
        <w:rPr>
          <w:rFonts w:asciiTheme="majorHAnsi" w:hAnsiTheme="majorHAnsi"/>
          <w:b/>
          <w:bCs/>
          <w:szCs w:val="22"/>
        </w:rPr>
        <w:t xml:space="preserve">Purpose: </w:t>
      </w:r>
      <w:r w:rsidRPr="00323B02">
        <w:rPr>
          <w:rFonts w:asciiTheme="majorHAnsi" w:hAnsiTheme="majorHAnsi"/>
          <w:szCs w:val="22"/>
        </w:rPr>
        <w:t>This clause requires the Borrower to repay the full amount of all loans plus accrued interest on the Repayment Date.</w:t>
      </w:r>
    </w:p>
    <w:p w14:paraId="75F48700" w14:textId="2DF5B499" w:rsidR="007C1C9E" w:rsidRPr="00323B02" w:rsidRDefault="007C1C9E" w:rsidP="007C1C9E">
      <w:pPr>
        <w:pStyle w:val="BBBodyTextIndent1"/>
        <w:rPr>
          <w:rFonts w:asciiTheme="majorHAnsi" w:hAnsiTheme="majorHAnsi"/>
          <w:szCs w:val="22"/>
        </w:rPr>
      </w:pPr>
      <w:r w:rsidRPr="00323B02">
        <w:rPr>
          <w:rFonts w:asciiTheme="majorHAnsi" w:hAnsiTheme="majorHAnsi"/>
          <w:szCs w:val="22"/>
        </w:rPr>
        <w:t>The Repayment Date is defined in clause 1 as the earlier of an Exit (subject to the Shared Revenue Agreement (or other relevant agreement)) or a specified long-stop date. An "Exit" means a Change of Control or sale of substantially all the Borrower's assets.</w:t>
      </w:r>
    </w:p>
    <w:p w14:paraId="40EC0309" w14:textId="77777777" w:rsidR="007C1C9E" w:rsidRPr="00323B02" w:rsidRDefault="007C1C9E" w:rsidP="007C1C9E">
      <w:pPr>
        <w:pStyle w:val="BBBodyTextIndent1"/>
        <w:rPr>
          <w:rFonts w:asciiTheme="majorHAnsi" w:hAnsiTheme="majorHAnsi"/>
          <w:szCs w:val="22"/>
        </w:rPr>
      </w:pPr>
      <w:r w:rsidRPr="00323B02">
        <w:rPr>
          <w:rFonts w:asciiTheme="majorHAnsi" w:hAnsiTheme="majorHAnsi"/>
          <w:szCs w:val="22"/>
        </w:rPr>
        <w:t>This structure means:</w:t>
      </w:r>
    </w:p>
    <w:p w14:paraId="393D49CF" w14:textId="12258A64" w:rsidR="007C1C9E" w:rsidRPr="00323B02" w:rsidRDefault="007C1C9E" w:rsidP="002A294A">
      <w:pPr>
        <w:pStyle w:val="BBBodyTextIndent1"/>
        <w:numPr>
          <w:ilvl w:val="0"/>
          <w:numId w:val="15"/>
        </w:numPr>
        <w:rPr>
          <w:rFonts w:asciiTheme="majorHAnsi" w:hAnsiTheme="majorHAnsi"/>
          <w:szCs w:val="22"/>
        </w:rPr>
      </w:pPr>
      <w:r w:rsidRPr="00323B02">
        <w:rPr>
          <w:rFonts w:asciiTheme="majorHAnsi" w:hAnsiTheme="majorHAnsi"/>
          <w:szCs w:val="22"/>
        </w:rPr>
        <w:t xml:space="preserve">If the project is sold or there is a change in ownership, the loan becomes </w:t>
      </w:r>
      <w:r w:rsidR="00F75449" w:rsidRPr="00323B02">
        <w:rPr>
          <w:rFonts w:asciiTheme="majorHAnsi" w:hAnsiTheme="majorHAnsi"/>
          <w:szCs w:val="22"/>
        </w:rPr>
        <w:t xml:space="preserve">immediately </w:t>
      </w:r>
      <w:r w:rsidRPr="00323B02">
        <w:rPr>
          <w:rFonts w:asciiTheme="majorHAnsi" w:hAnsiTheme="majorHAnsi"/>
          <w:szCs w:val="22"/>
        </w:rPr>
        <w:t>due</w:t>
      </w:r>
      <w:r w:rsidR="00F75449" w:rsidRPr="00323B02">
        <w:rPr>
          <w:rFonts w:asciiTheme="majorHAnsi" w:hAnsiTheme="majorHAnsi"/>
          <w:szCs w:val="22"/>
        </w:rPr>
        <w:t xml:space="preserve"> and payable</w:t>
      </w:r>
      <w:r w:rsidRPr="00323B02">
        <w:rPr>
          <w:rFonts w:asciiTheme="majorHAnsi" w:hAnsiTheme="majorHAnsi"/>
          <w:szCs w:val="22"/>
        </w:rPr>
        <w:t xml:space="preserve"> (ensuring the Lender is repaid before proceeds are distributed</w:t>
      </w:r>
      <w:r w:rsidR="00F75449" w:rsidRPr="00323B02">
        <w:rPr>
          <w:rFonts w:asciiTheme="majorHAnsi" w:hAnsiTheme="majorHAnsi"/>
          <w:szCs w:val="22"/>
        </w:rPr>
        <w:t xml:space="preserve"> to the shareholder</w:t>
      </w:r>
      <w:r w:rsidRPr="00323B02">
        <w:rPr>
          <w:rFonts w:asciiTheme="majorHAnsi" w:hAnsiTheme="majorHAnsi"/>
          <w:szCs w:val="22"/>
        </w:rPr>
        <w:t>);</w:t>
      </w:r>
    </w:p>
    <w:p w14:paraId="7F45665C" w14:textId="77777777" w:rsidR="007C1C9E" w:rsidRPr="00323B02" w:rsidRDefault="007C1C9E" w:rsidP="002A294A">
      <w:pPr>
        <w:pStyle w:val="BBBodyTextIndent1"/>
        <w:numPr>
          <w:ilvl w:val="0"/>
          <w:numId w:val="15"/>
        </w:numPr>
        <w:rPr>
          <w:rFonts w:asciiTheme="majorHAnsi" w:hAnsiTheme="majorHAnsi"/>
          <w:szCs w:val="22"/>
        </w:rPr>
      </w:pPr>
      <w:r w:rsidRPr="00323B02">
        <w:rPr>
          <w:rFonts w:asciiTheme="majorHAnsi" w:hAnsiTheme="majorHAnsi"/>
          <w:szCs w:val="22"/>
        </w:rPr>
        <w:lastRenderedPageBreak/>
        <w:t>Otherwise, repayment occurs on the long-stop date; and</w:t>
      </w:r>
    </w:p>
    <w:p w14:paraId="4CC21B71" w14:textId="77777777" w:rsidR="00033740" w:rsidRPr="00323B02" w:rsidRDefault="007C1C9E" w:rsidP="00033740">
      <w:pPr>
        <w:pStyle w:val="BBBodyTextIndent1"/>
        <w:numPr>
          <w:ilvl w:val="0"/>
          <w:numId w:val="15"/>
        </w:numPr>
        <w:rPr>
          <w:rFonts w:asciiTheme="majorHAnsi" w:hAnsiTheme="majorHAnsi"/>
          <w:szCs w:val="22"/>
        </w:rPr>
      </w:pPr>
      <w:r w:rsidRPr="00323B02">
        <w:rPr>
          <w:rFonts w:asciiTheme="majorHAnsi" w:hAnsiTheme="majorHAnsi"/>
          <w:szCs w:val="22"/>
        </w:rPr>
        <w:t>The relationship with the Shared Revenue Agreement (or other relevant agreement) must be carefully considered to ensure the timing of loan repayment and revenue sharing are properly coordinated.</w:t>
      </w:r>
    </w:p>
    <w:p w14:paraId="579710AF" w14:textId="4D53FF92" w:rsidR="00033740" w:rsidRPr="00323B02" w:rsidRDefault="00033740" w:rsidP="00BE7ED4">
      <w:pPr>
        <w:ind w:left="720"/>
        <w:rPr>
          <w:rFonts w:asciiTheme="majorHAnsi" w:hAnsiTheme="majorHAnsi"/>
          <w:sz w:val="22"/>
          <w:szCs w:val="22"/>
        </w:rPr>
      </w:pPr>
      <w:r w:rsidRPr="00323B02">
        <w:rPr>
          <w:rFonts w:asciiTheme="majorHAnsi" w:hAnsiTheme="majorHAnsi"/>
          <w:sz w:val="22"/>
          <w:szCs w:val="22"/>
        </w:rPr>
        <w:t xml:space="preserve">If the loans are instead to be </w:t>
      </w:r>
      <w:r w:rsidR="00F75449" w:rsidRPr="00323B02">
        <w:rPr>
          <w:rFonts w:asciiTheme="majorHAnsi" w:hAnsiTheme="majorHAnsi"/>
          <w:sz w:val="22"/>
          <w:szCs w:val="22"/>
        </w:rPr>
        <w:t>re</w:t>
      </w:r>
      <w:r w:rsidRPr="00323B02">
        <w:rPr>
          <w:rFonts w:asciiTheme="majorHAnsi" w:hAnsiTheme="majorHAnsi"/>
          <w:sz w:val="22"/>
          <w:szCs w:val="22"/>
        </w:rPr>
        <w:t xml:space="preserve">paid </w:t>
      </w:r>
      <w:r w:rsidR="00F75449" w:rsidRPr="00323B02">
        <w:rPr>
          <w:rFonts w:asciiTheme="majorHAnsi" w:hAnsiTheme="majorHAnsi"/>
          <w:sz w:val="22"/>
          <w:szCs w:val="22"/>
        </w:rPr>
        <w:t>in instalments, this clause should be adapted, but the reference to an Exit should be retained.</w:t>
      </w:r>
    </w:p>
    <w:p w14:paraId="03A753E2" w14:textId="77777777" w:rsidR="00033740" w:rsidRPr="00323B02" w:rsidRDefault="00033740" w:rsidP="00BE7ED4">
      <w:pPr>
        <w:rPr>
          <w:rFonts w:asciiTheme="majorHAnsi" w:hAnsiTheme="majorHAnsi"/>
          <w:szCs w:val="22"/>
        </w:rPr>
      </w:pPr>
    </w:p>
    <w:p w14:paraId="0B1366D6" w14:textId="5CE47536" w:rsidR="007C1C9E" w:rsidRPr="00323B02" w:rsidRDefault="007C1C9E" w:rsidP="007C1C9E">
      <w:pPr>
        <w:pStyle w:val="BBBodyTextIndent1"/>
        <w:rPr>
          <w:rFonts w:asciiTheme="majorHAnsi" w:hAnsiTheme="majorHAnsi"/>
          <w:b/>
          <w:bCs/>
          <w:szCs w:val="22"/>
        </w:rPr>
      </w:pPr>
      <w:r w:rsidRPr="00323B02">
        <w:rPr>
          <w:rFonts w:asciiTheme="majorHAnsi" w:hAnsiTheme="majorHAnsi"/>
          <w:b/>
          <w:bCs/>
          <w:szCs w:val="22"/>
        </w:rPr>
        <w:t>Action Required:</w:t>
      </w:r>
    </w:p>
    <w:p w14:paraId="253A2782" w14:textId="7D57FFC3" w:rsidR="007C1C9E" w:rsidRPr="00323B02" w:rsidRDefault="007C1C9E" w:rsidP="007C1C9E">
      <w:pPr>
        <w:pStyle w:val="BBClause2"/>
        <w:numPr>
          <w:ilvl w:val="0"/>
          <w:numId w:val="13"/>
        </w:numPr>
        <w:ind w:left="1080"/>
        <w:rPr>
          <w:rFonts w:asciiTheme="majorHAnsi" w:hAnsiTheme="majorHAnsi"/>
          <w:szCs w:val="22"/>
        </w:rPr>
      </w:pPr>
      <w:r w:rsidRPr="00323B02">
        <w:rPr>
          <w:rFonts w:asciiTheme="majorHAnsi" w:hAnsiTheme="majorHAnsi"/>
          <w:szCs w:val="22"/>
        </w:rPr>
        <w:t>Insert the long-stop Repayment Date in the definition in clause 1</w:t>
      </w:r>
      <w:r w:rsidR="00117628">
        <w:rPr>
          <w:rFonts w:asciiTheme="majorHAnsi" w:hAnsiTheme="majorHAnsi"/>
          <w:szCs w:val="22"/>
        </w:rPr>
        <w:t>.</w:t>
      </w:r>
    </w:p>
    <w:p w14:paraId="430A719B" w14:textId="33FBDFF1" w:rsidR="007C1C9E" w:rsidRPr="00323B02" w:rsidRDefault="007C1C9E" w:rsidP="007C1C9E">
      <w:pPr>
        <w:pStyle w:val="BBClause2"/>
        <w:numPr>
          <w:ilvl w:val="0"/>
          <w:numId w:val="13"/>
        </w:numPr>
        <w:ind w:left="1080"/>
        <w:rPr>
          <w:rFonts w:asciiTheme="majorHAnsi" w:hAnsiTheme="majorHAnsi"/>
          <w:szCs w:val="22"/>
        </w:rPr>
      </w:pPr>
      <w:r w:rsidRPr="00323B02">
        <w:rPr>
          <w:rFonts w:asciiTheme="majorHAnsi" w:hAnsiTheme="majorHAnsi"/>
          <w:szCs w:val="22"/>
        </w:rPr>
        <w:t>Ensure this date is realistic given the project timeline and expected cashflows</w:t>
      </w:r>
      <w:r w:rsidR="00117628">
        <w:rPr>
          <w:rFonts w:asciiTheme="majorHAnsi" w:hAnsiTheme="majorHAnsi"/>
          <w:szCs w:val="22"/>
        </w:rPr>
        <w:t>.</w:t>
      </w:r>
    </w:p>
    <w:p w14:paraId="7838D252" w14:textId="6C215A7E" w:rsidR="007C1C9E" w:rsidRPr="00323B02" w:rsidRDefault="007C1C9E" w:rsidP="007C1C9E">
      <w:pPr>
        <w:pStyle w:val="BBClause2"/>
        <w:numPr>
          <w:ilvl w:val="0"/>
          <w:numId w:val="13"/>
        </w:numPr>
        <w:ind w:left="1080"/>
        <w:rPr>
          <w:rFonts w:asciiTheme="majorHAnsi" w:hAnsiTheme="majorHAnsi"/>
          <w:szCs w:val="22"/>
        </w:rPr>
      </w:pPr>
      <w:r w:rsidRPr="00323B02">
        <w:rPr>
          <w:rFonts w:asciiTheme="majorHAnsi" w:hAnsiTheme="majorHAnsi"/>
          <w:szCs w:val="22"/>
        </w:rPr>
        <w:t>If applicable, carefully review the Shared Revenue Agreement (or other relevant agreement) to ensure the repayment provisions are consistent.</w:t>
      </w:r>
    </w:p>
    <w:p w14:paraId="1EF9835E" w14:textId="27C37FC8" w:rsidR="00A16FE4" w:rsidRPr="00323B02" w:rsidRDefault="00A16FE4" w:rsidP="00A16FE4">
      <w:pPr>
        <w:pStyle w:val="BBHeading1Lower"/>
        <w:numPr>
          <w:ilvl w:val="1"/>
          <w:numId w:val="8"/>
        </w:numPr>
        <w:rPr>
          <w:rFonts w:asciiTheme="majorHAnsi" w:hAnsiTheme="majorHAnsi"/>
          <w:szCs w:val="22"/>
          <w:u w:val="single"/>
        </w:rPr>
      </w:pPr>
      <w:bookmarkStart w:id="21" w:name="_Toc225518691"/>
      <w:r w:rsidRPr="00323B02">
        <w:rPr>
          <w:rFonts w:asciiTheme="majorHAnsi" w:hAnsiTheme="majorHAnsi"/>
          <w:szCs w:val="22"/>
          <w:u w:val="single"/>
        </w:rPr>
        <w:t>Clause 8: Costs</w:t>
      </w:r>
      <w:bookmarkEnd w:id="21"/>
      <w:r w:rsidRPr="00323B02">
        <w:rPr>
          <w:rFonts w:asciiTheme="majorHAnsi" w:hAnsiTheme="majorHAnsi"/>
          <w:szCs w:val="22"/>
          <w:u w:val="single"/>
        </w:rPr>
        <w:t xml:space="preserve"> </w:t>
      </w:r>
    </w:p>
    <w:p w14:paraId="29EF16AF" w14:textId="0A5EB60F" w:rsidR="00A16FE4" w:rsidRPr="00323B02" w:rsidRDefault="00A16FE4" w:rsidP="00A16FE4">
      <w:pPr>
        <w:pStyle w:val="BBBodyTextIndent1"/>
        <w:rPr>
          <w:rFonts w:asciiTheme="majorHAnsi" w:hAnsiTheme="majorHAnsi"/>
          <w:szCs w:val="22"/>
        </w:rPr>
      </w:pPr>
      <w:r w:rsidRPr="00323B02">
        <w:rPr>
          <w:rFonts w:asciiTheme="majorHAnsi" w:hAnsiTheme="majorHAnsi"/>
          <w:b/>
          <w:bCs/>
          <w:szCs w:val="22"/>
        </w:rPr>
        <w:t xml:space="preserve">Purpose: </w:t>
      </w:r>
      <w:r w:rsidRPr="00323B02">
        <w:rPr>
          <w:rFonts w:asciiTheme="majorHAnsi" w:hAnsiTheme="majorHAnsi"/>
          <w:szCs w:val="22"/>
        </w:rPr>
        <w:t>This clause requires the Borrower to reimburse the Lender for costs and expenses incurred in connection with the loan facility and to indemnify the Lender for stamp duties and similar taxes.</w:t>
      </w:r>
    </w:p>
    <w:p w14:paraId="10889E99" w14:textId="34AAFA91" w:rsidR="00A16FE4" w:rsidRPr="00323B02" w:rsidRDefault="00A16FE4" w:rsidP="00A16FE4">
      <w:pPr>
        <w:pStyle w:val="BBBodyTextIndent1"/>
        <w:rPr>
          <w:rFonts w:asciiTheme="majorHAnsi" w:hAnsiTheme="majorHAnsi"/>
          <w:szCs w:val="22"/>
        </w:rPr>
      </w:pPr>
      <w:r w:rsidRPr="00323B02">
        <w:rPr>
          <w:rFonts w:asciiTheme="majorHAnsi" w:hAnsiTheme="majorHAnsi"/>
          <w:b/>
          <w:bCs/>
          <w:szCs w:val="22"/>
        </w:rPr>
        <w:t xml:space="preserve">Guidance to CEG: </w:t>
      </w:r>
      <w:r w:rsidRPr="00323B02">
        <w:rPr>
          <w:rFonts w:asciiTheme="majorHAnsi" w:hAnsiTheme="majorHAnsi"/>
          <w:szCs w:val="22"/>
        </w:rPr>
        <w:t xml:space="preserve">This clause enables you to recover your legal and other professional costs. "Reasonable" costs means you cannot recover excessive or unnecessary expenses. Keep records of costs incurred and provide appropriate invoices when requesting reimbursement. </w:t>
      </w:r>
    </w:p>
    <w:p w14:paraId="52C0713A" w14:textId="610D9D91" w:rsidR="00A16FE4" w:rsidRPr="00323B02" w:rsidRDefault="00A16FE4" w:rsidP="00A16FE4">
      <w:pPr>
        <w:pStyle w:val="BBHeading1Lower"/>
        <w:numPr>
          <w:ilvl w:val="1"/>
          <w:numId w:val="8"/>
        </w:numPr>
        <w:rPr>
          <w:rFonts w:asciiTheme="majorHAnsi" w:hAnsiTheme="majorHAnsi"/>
          <w:szCs w:val="22"/>
          <w:u w:val="single"/>
        </w:rPr>
      </w:pPr>
      <w:bookmarkStart w:id="22" w:name="_Toc225518692"/>
      <w:r w:rsidRPr="00323B02">
        <w:rPr>
          <w:rFonts w:asciiTheme="majorHAnsi" w:hAnsiTheme="majorHAnsi"/>
          <w:szCs w:val="22"/>
          <w:u w:val="single"/>
        </w:rPr>
        <w:t>Clause 9: Payments</w:t>
      </w:r>
      <w:bookmarkEnd w:id="22"/>
      <w:r w:rsidRPr="00323B02">
        <w:rPr>
          <w:rFonts w:asciiTheme="majorHAnsi" w:hAnsiTheme="majorHAnsi"/>
          <w:szCs w:val="22"/>
          <w:u w:val="single"/>
        </w:rPr>
        <w:t xml:space="preserve"> </w:t>
      </w:r>
    </w:p>
    <w:p w14:paraId="12FEEFD5" w14:textId="1BF41A29" w:rsidR="00A16FE4" w:rsidRPr="00323B02" w:rsidRDefault="00A16FE4" w:rsidP="00A16FE4">
      <w:pPr>
        <w:pStyle w:val="BBBodyTextIndent1"/>
        <w:rPr>
          <w:rFonts w:asciiTheme="majorHAnsi" w:hAnsiTheme="majorHAnsi"/>
          <w:szCs w:val="22"/>
        </w:rPr>
      </w:pPr>
      <w:r w:rsidRPr="00323B02">
        <w:rPr>
          <w:rFonts w:asciiTheme="majorHAnsi" w:hAnsiTheme="majorHAnsi"/>
          <w:b/>
          <w:bCs/>
          <w:szCs w:val="22"/>
        </w:rPr>
        <w:t>Purpose</w:t>
      </w:r>
      <w:r w:rsidRPr="00323B02">
        <w:rPr>
          <w:rFonts w:asciiTheme="majorHAnsi" w:hAnsiTheme="majorHAnsi"/>
          <w:szCs w:val="22"/>
        </w:rPr>
        <w:t xml:space="preserve">: This clause sets out the mechanics for how payments must be made under the Finance Documents. </w:t>
      </w:r>
    </w:p>
    <w:p w14:paraId="4C511685" w14:textId="55BF21F0" w:rsidR="00A16FE4" w:rsidRPr="00323B02" w:rsidRDefault="00A16FE4" w:rsidP="00A16FE4">
      <w:pPr>
        <w:pStyle w:val="BBBodyTextIndent1"/>
        <w:rPr>
          <w:rFonts w:asciiTheme="majorHAnsi" w:hAnsiTheme="majorHAnsi"/>
          <w:szCs w:val="22"/>
        </w:rPr>
      </w:pPr>
      <w:r w:rsidRPr="00323B02">
        <w:rPr>
          <w:rFonts w:asciiTheme="majorHAnsi" w:hAnsiTheme="majorHAnsi"/>
          <w:szCs w:val="22"/>
        </w:rPr>
        <w:t xml:space="preserve">This clause specifies that all payments must be: </w:t>
      </w:r>
    </w:p>
    <w:p w14:paraId="6E799B09" w14:textId="417E3271" w:rsidR="00805B15" w:rsidRPr="00323B02" w:rsidRDefault="00805B15" w:rsidP="002A294A">
      <w:pPr>
        <w:pStyle w:val="ListParagraph"/>
        <w:numPr>
          <w:ilvl w:val="0"/>
          <w:numId w:val="15"/>
        </w:numPr>
        <w:rPr>
          <w:rFonts w:asciiTheme="majorHAnsi" w:eastAsia="Times New Roman" w:hAnsiTheme="majorHAnsi"/>
          <w:sz w:val="22"/>
          <w:szCs w:val="22"/>
          <w:lang w:eastAsia="en-GB"/>
        </w:rPr>
      </w:pPr>
      <w:r w:rsidRPr="00323B02">
        <w:rPr>
          <w:rFonts w:asciiTheme="majorHAnsi" w:eastAsia="Times New Roman" w:hAnsiTheme="majorHAnsi"/>
          <w:sz w:val="22"/>
          <w:szCs w:val="22"/>
          <w:lang w:eastAsia="en-GB"/>
        </w:rPr>
        <w:t xml:space="preserve">In GBP; </w:t>
      </w:r>
    </w:p>
    <w:p w14:paraId="4A3DABEB" w14:textId="228ADE48" w:rsidR="00805B15" w:rsidRPr="00323B02" w:rsidRDefault="00805B15" w:rsidP="002A294A">
      <w:pPr>
        <w:pStyle w:val="ListParagraph"/>
        <w:numPr>
          <w:ilvl w:val="0"/>
          <w:numId w:val="15"/>
        </w:numPr>
        <w:rPr>
          <w:rFonts w:asciiTheme="majorHAnsi" w:eastAsia="Times New Roman" w:hAnsiTheme="majorHAnsi"/>
          <w:sz w:val="22"/>
          <w:szCs w:val="22"/>
          <w:lang w:eastAsia="en-GB"/>
        </w:rPr>
      </w:pPr>
      <w:r w:rsidRPr="00323B02">
        <w:rPr>
          <w:rFonts w:asciiTheme="majorHAnsi" w:eastAsia="Times New Roman" w:hAnsiTheme="majorHAnsi"/>
          <w:sz w:val="22"/>
          <w:szCs w:val="22"/>
          <w:lang w:eastAsia="en-GB"/>
        </w:rPr>
        <w:t xml:space="preserve">In immediately available cleared funds; </w:t>
      </w:r>
    </w:p>
    <w:p w14:paraId="3AF935C1" w14:textId="0468771D" w:rsidR="00805B15" w:rsidRPr="00323B02" w:rsidRDefault="00805B15" w:rsidP="002A294A">
      <w:pPr>
        <w:pStyle w:val="ListParagraph"/>
        <w:numPr>
          <w:ilvl w:val="0"/>
          <w:numId w:val="15"/>
        </w:numPr>
        <w:rPr>
          <w:rFonts w:asciiTheme="majorHAnsi" w:eastAsia="Times New Roman" w:hAnsiTheme="majorHAnsi"/>
          <w:sz w:val="22"/>
          <w:szCs w:val="22"/>
          <w:lang w:eastAsia="en-GB"/>
        </w:rPr>
      </w:pPr>
      <w:r w:rsidRPr="00323B02">
        <w:rPr>
          <w:rFonts w:asciiTheme="majorHAnsi" w:eastAsia="Times New Roman" w:hAnsiTheme="majorHAnsi"/>
          <w:sz w:val="22"/>
          <w:szCs w:val="22"/>
          <w:lang w:eastAsia="en-GB"/>
        </w:rPr>
        <w:t xml:space="preserve">To the bank account notified by the Lender; </w:t>
      </w:r>
    </w:p>
    <w:p w14:paraId="05900FB9" w14:textId="4A89E029" w:rsidR="00805B15" w:rsidRPr="00323B02" w:rsidRDefault="00805B15" w:rsidP="002A294A">
      <w:pPr>
        <w:pStyle w:val="ListParagraph"/>
        <w:numPr>
          <w:ilvl w:val="0"/>
          <w:numId w:val="15"/>
        </w:numPr>
        <w:rPr>
          <w:rFonts w:asciiTheme="majorHAnsi" w:eastAsia="Times New Roman" w:hAnsiTheme="majorHAnsi"/>
          <w:sz w:val="22"/>
          <w:szCs w:val="22"/>
          <w:lang w:eastAsia="en-GB"/>
        </w:rPr>
      </w:pPr>
      <w:r w:rsidRPr="00323B02">
        <w:rPr>
          <w:rFonts w:asciiTheme="majorHAnsi" w:eastAsia="Times New Roman" w:hAnsiTheme="majorHAnsi"/>
          <w:sz w:val="22"/>
          <w:szCs w:val="22"/>
          <w:lang w:eastAsia="en-GB"/>
        </w:rPr>
        <w:t xml:space="preserve">Made in full without any set-off, counterclaim, condition, deduction or withholding. The effect of this clause is that the net full amount received by the Lender will not be affected by any set-off, counterclaim, deduction or withholding. </w:t>
      </w:r>
    </w:p>
    <w:p w14:paraId="3244B0E7" w14:textId="77777777" w:rsidR="00805B15" w:rsidRPr="00323B02" w:rsidRDefault="00805B15" w:rsidP="00805B15">
      <w:pPr>
        <w:rPr>
          <w:rFonts w:asciiTheme="majorHAnsi" w:eastAsia="Times New Roman" w:hAnsiTheme="majorHAnsi"/>
          <w:sz w:val="22"/>
          <w:szCs w:val="22"/>
          <w:lang w:eastAsia="en-GB"/>
        </w:rPr>
      </w:pPr>
    </w:p>
    <w:p w14:paraId="2B4AE482" w14:textId="27A52ABD" w:rsidR="00805B15" w:rsidRPr="00323B02" w:rsidRDefault="00805B15" w:rsidP="00805B15">
      <w:pPr>
        <w:pStyle w:val="BBHeading1Lower"/>
        <w:numPr>
          <w:ilvl w:val="1"/>
          <w:numId w:val="8"/>
        </w:numPr>
        <w:rPr>
          <w:rFonts w:asciiTheme="majorHAnsi" w:hAnsiTheme="majorHAnsi"/>
          <w:szCs w:val="22"/>
          <w:u w:val="single"/>
        </w:rPr>
      </w:pPr>
      <w:bookmarkStart w:id="23" w:name="_Toc225518693"/>
      <w:r w:rsidRPr="00323B02">
        <w:rPr>
          <w:rFonts w:asciiTheme="majorHAnsi" w:hAnsiTheme="majorHAnsi"/>
          <w:szCs w:val="22"/>
          <w:u w:val="single"/>
        </w:rPr>
        <w:t>Clause 10: Representations and Warranties</w:t>
      </w:r>
      <w:bookmarkEnd w:id="23"/>
    </w:p>
    <w:p w14:paraId="5815CFE6" w14:textId="0E1B34F7" w:rsidR="00805B15" w:rsidRPr="00323B02" w:rsidRDefault="00805B15" w:rsidP="00805B15">
      <w:pPr>
        <w:pStyle w:val="BBBodyTextIndent1"/>
      </w:pPr>
      <w:r w:rsidRPr="00323B02">
        <w:rPr>
          <w:b/>
          <w:bCs/>
        </w:rPr>
        <w:t xml:space="preserve">Purpose: </w:t>
      </w:r>
      <w:r w:rsidRPr="00323B02">
        <w:t>This clause contains factual statements (</w:t>
      </w:r>
      <w:r w:rsidR="000D736C" w:rsidRPr="00323B02">
        <w:t xml:space="preserve">i.e. </w:t>
      </w:r>
      <w:r w:rsidRPr="00323B02">
        <w:t>"</w:t>
      </w:r>
      <w:r w:rsidRPr="00323B02">
        <w:rPr>
          <w:b/>
          <w:bCs/>
        </w:rPr>
        <w:t>Warranties</w:t>
      </w:r>
      <w:r w:rsidRPr="00323B02">
        <w:t>") that the Borrower makes to the Lender on the date of the Agreement</w:t>
      </w:r>
      <w:r w:rsidR="0033295C">
        <w:t>, which are then deemed repeated</w:t>
      </w:r>
      <w:r w:rsidRPr="00323B02">
        <w:t xml:space="preserve"> on each drawdown request date</w:t>
      </w:r>
      <w:r w:rsidR="0033295C">
        <w:t>,</w:t>
      </w:r>
      <w:r w:rsidRPr="00323B02">
        <w:t xml:space="preserve"> </w:t>
      </w:r>
      <w:r w:rsidR="007C0B5D">
        <w:t xml:space="preserve">each </w:t>
      </w:r>
      <w:r w:rsidRPr="00323B02">
        <w:t>drawdown date</w:t>
      </w:r>
      <w:r w:rsidR="0033295C">
        <w:t xml:space="preserve"> and the agreed dates specified in the Agreement</w:t>
      </w:r>
      <w:r w:rsidRPr="00323B02">
        <w:t xml:space="preserve">. If any Warranty proves to be untrue, </w:t>
      </w:r>
      <w:r w:rsidR="0033295C">
        <w:t xml:space="preserve">it will act as a drawstop for further advances and </w:t>
      </w:r>
      <w:r w:rsidRPr="00323B02">
        <w:t>the Lender may have a claim for damages and/or an Event of Default may occur.</w:t>
      </w:r>
      <w:r w:rsidR="000D736C" w:rsidRPr="00323B02">
        <w:t xml:space="preserve"> </w:t>
      </w:r>
    </w:p>
    <w:p w14:paraId="36BE6ECD" w14:textId="3DF943B7" w:rsidR="000D736C" w:rsidRPr="00323B02" w:rsidRDefault="000D736C" w:rsidP="00805B15">
      <w:pPr>
        <w:pStyle w:val="BBBodyTextIndent1"/>
      </w:pPr>
      <w:r w:rsidRPr="00323B02">
        <w:rPr>
          <w:b/>
          <w:bCs/>
        </w:rPr>
        <w:t xml:space="preserve">Action Required: </w:t>
      </w:r>
    </w:p>
    <w:p w14:paraId="36B1F4BF" w14:textId="5F277257" w:rsidR="000D736C" w:rsidRPr="00323B02" w:rsidRDefault="000D736C" w:rsidP="000D736C">
      <w:pPr>
        <w:pStyle w:val="BBClause2"/>
        <w:numPr>
          <w:ilvl w:val="0"/>
          <w:numId w:val="13"/>
        </w:numPr>
        <w:ind w:left="1080"/>
        <w:rPr>
          <w:rFonts w:asciiTheme="majorHAnsi" w:hAnsiTheme="majorHAnsi"/>
          <w:szCs w:val="22"/>
        </w:rPr>
      </w:pPr>
      <w:r w:rsidRPr="00323B02">
        <w:rPr>
          <w:rFonts w:asciiTheme="majorHAnsi" w:hAnsiTheme="majorHAnsi"/>
          <w:szCs w:val="22"/>
        </w:rPr>
        <w:lastRenderedPageBreak/>
        <w:t>Review all Warranties carefully to ensure that they are appropriate in the circumstances (and the B</w:t>
      </w:r>
      <w:r w:rsidR="006F2045">
        <w:rPr>
          <w:rFonts w:asciiTheme="majorHAnsi" w:hAnsiTheme="majorHAnsi"/>
          <w:szCs w:val="22"/>
        </w:rPr>
        <w:t>orrower</w:t>
      </w:r>
      <w:r w:rsidRPr="00323B02">
        <w:rPr>
          <w:rFonts w:asciiTheme="majorHAnsi" w:hAnsiTheme="majorHAnsi"/>
          <w:szCs w:val="22"/>
        </w:rPr>
        <w:t xml:space="preserve"> should ensure that they can properly give them)</w:t>
      </w:r>
      <w:r w:rsidR="00117628">
        <w:rPr>
          <w:rFonts w:asciiTheme="majorHAnsi" w:hAnsiTheme="majorHAnsi"/>
          <w:szCs w:val="22"/>
        </w:rPr>
        <w:t>.</w:t>
      </w:r>
    </w:p>
    <w:p w14:paraId="6407064C" w14:textId="7B57CC9F" w:rsidR="000D736C" w:rsidRPr="00323B02" w:rsidRDefault="000D736C" w:rsidP="000D736C">
      <w:pPr>
        <w:pStyle w:val="BBClause2"/>
        <w:numPr>
          <w:ilvl w:val="0"/>
          <w:numId w:val="13"/>
        </w:numPr>
        <w:ind w:left="1080"/>
        <w:rPr>
          <w:rFonts w:asciiTheme="majorHAnsi" w:hAnsiTheme="majorHAnsi"/>
          <w:szCs w:val="22"/>
        </w:rPr>
      </w:pPr>
      <w:r w:rsidRPr="00323B02">
        <w:rPr>
          <w:rFonts w:asciiTheme="majorHAnsi" w:hAnsiTheme="majorHAnsi"/>
          <w:szCs w:val="22"/>
        </w:rPr>
        <w:t>Complete clause 10.3</w:t>
      </w:r>
      <w:r w:rsidR="00117628">
        <w:rPr>
          <w:rFonts w:asciiTheme="majorHAnsi" w:hAnsiTheme="majorHAnsi"/>
          <w:szCs w:val="22"/>
        </w:rPr>
        <w:t>3</w:t>
      </w:r>
      <w:r w:rsidRPr="00323B02">
        <w:rPr>
          <w:rFonts w:asciiTheme="majorHAnsi" w:hAnsiTheme="majorHAnsi"/>
          <w:szCs w:val="22"/>
        </w:rPr>
        <w:t xml:space="preserve"> with any additional project-specific warranties</w:t>
      </w:r>
      <w:r w:rsidR="00117628">
        <w:rPr>
          <w:rFonts w:asciiTheme="majorHAnsi" w:hAnsiTheme="majorHAnsi"/>
          <w:szCs w:val="22"/>
        </w:rPr>
        <w:t>, following completion of due diligence on the Project.</w:t>
      </w:r>
    </w:p>
    <w:p w14:paraId="7C897350" w14:textId="7251DF2D" w:rsidR="000D736C" w:rsidRDefault="000D736C" w:rsidP="000D736C">
      <w:pPr>
        <w:pStyle w:val="BBClause2"/>
        <w:numPr>
          <w:ilvl w:val="0"/>
          <w:numId w:val="13"/>
        </w:numPr>
        <w:ind w:left="1080"/>
        <w:rPr>
          <w:rFonts w:asciiTheme="majorHAnsi" w:hAnsiTheme="majorHAnsi"/>
          <w:szCs w:val="22"/>
        </w:rPr>
      </w:pPr>
      <w:r w:rsidRPr="00323B02">
        <w:rPr>
          <w:rFonts w:asciiTheme="majorHAnsi" w:hAnsiTheme="majorHAnsi"/>
          <w:szCs w:val="22"/>
        </w:rPr>
        <w:t>Ensure consistency with warranties in other Transaction Documents (particularly the Shared Revenue Agreement</w:t>
      </w:r>
      <w:r w:rsidR="003A5FAB" w:rsidRPr="00323B02">
        <w:rPr>
          <w:rFonts w:asciiTheme="majorHAnsi" w:hAnsiTheme="majorHAnsi"/>
          <w:szCs w:val="22"/>
        </w:rPr>
        <w:t xml:space="preserve"> if relevant</w:t>
      </w:r>
      <w:r w:rsidRPr="00323B02">
        <w:rPr>
          <w:rFonts w:asciiTheme="majorHAnsi" w:hAnsiTheme="majorHAnsi"/>
          <w:szCs w:val="22"/>
        </w:rPr>
        <w:t>)</w:t>
      </w:r>
      <w:r w:rsidR="00117628">
        <w:rPr>
          <w:rFonts w:asciiTheme="majorHAnsi" w:hAnsiTheme="majorHAnsi"/>
          <w:szCs w:val="22"/>
        </w:rPr>
        <w:t>.</w:t>
      </w:r>
    </w:p>
    <w:p w14:paraId="707F7479" w14:textId="4DE1EED1" w:rsidR="0033295C" w:rsidRPr="00323B02" w:rsidRDefault="0033295C" w:rsidP="000D736C">
      <w:pPr>
        <w:pStyle w:val="BBClause2"/>
        <w:numPr>
          <w:ilvl w:val="0"/>
          <w:numId w:val="13"/>
        </w:numPr>
        <w:ind w:left="1080"/>
        <w:rPr>
          <w:rFonts w:asciiTheme="majorHAnsi" w:hAnsiTheme="majorHAnsi"/>
          <w:szCs w:val="22"/>
        </w:rPr>
      </w:pPr>
      <w:r>
        <w:rPr>
          <w:rFonts w:asciiTheme="majorHAnsi" w:hAnsiTheme="majorHAnsi"/>
          <w:szCs w:val="22"/>
        </w:rPr>
        <w:t>Consider when the Warranties should repeat – in addition to each drawdown request date and each drawdown date, they would normally also repeat periodically on each interest payment date.  However, under the transaction structure in the Template, interest accrues and is only payable on the Repayment Date, so separate dates will need to be agreed and inserted.  These can be Test Dates, to align with the financial covenant testing.</w:t>
      </w:r>
    </w:p>
    <w:p w14:paraId="02E2724D" w14:textId="0F690D52" w:rsidR="003A5FAB" w:rsidRPr="00323B02" w:rsidRDefault="000D736C" w:rsidP="003A5FAB">
      <w:pPr>
        <w:pStyle w:val="BBClause2"/>
        <w:numPr>
          <w:ilvl w:val="0"/>
          <w:numId w:val="13"/>
        </w:numPr>
        <w:ind w:left="1080"/>
        <w:rPr>
          <w:rFonts w:asciiTheme="majorHAnsi" w:hAnsiTheme="majorHAnsi"/>
          <w:szCs w:val="22"/>
        </w:rPr>
      </w:pPr>
      <w:r w:rsidRPr="00323B02">
        <w:rPr>
          <w:rFonts w:asciiTheme="majorHAnsi" w:hAnsiTheme="majorHAnsi"/>
          <w:szCs w:val="22"/>
        </w:rPr>
        <w:t>Consider whether any Warranties should be qualified by materiality, knowledge or other limitations</w:t>
      </w:r>
      <w:r w:rsidR="003A5FAB" w:rsidRPr="00323B02">
        <w:rPr>
          <w:rFonts w:asciiTheme="majorHAnsi" w:hAnsiTheme="majorHAnsi"/>
          <w:szCs w:val="22"/>
        </w:rPr>
        <w:t xml:space="preserve">. For example, a Warranty can be provided “So far as the </w:t>
      </w:r>
      <w:r w:rsidR="00A34295">
        <w:rPr>
          <w:rFonts w:asciiTheme="majorHAnsi" w:hAnsiTheme="majorHAnsi"/>
          <w:szCs w:val="22"/>
        </w:rPr>
        <w:t>Borrower</w:t>
      </w:r>
      <w:r w:rsidR="003A5FAB" w:rsidRPr="00323B02">
        <w:rPr>
          <w:rFonts w:asciiTheme="majorHAnsi" w:hAnsiTheme="majorHAnsi"/>
          <w:szCs w:val="22"/>
        </w:rPr>
        <w:t xml:space="preserve"> is reasonably aware”, which reduces the B</w:t>
      </w:r>
      <w:r w:rsidR="00A34295">
        <w:rPr>
          <w:rFonts w:asciiTheme="majorHAnsi" w:hAnsiTheme="majorHAnsi"/>
          <w:szCs w:val="22"/>
        </w:rPr>
        <w:t>orrower</w:t>
      </w:r>
      <w:r w:rsidR="003A5FAB" w:rsidRPr="00323B02">
        <w:rPr>
          <w:rFonts w:asciiTheme="majorHAnsi" w:hAnsiTheme="majorHAnsi"/>
          <w:szCs w:val="22"/>
        </w:rPr>
        <w:t>’s liability for unknown circumstances that might mean that a Warranty is untrue</w:t>
      </w:r>
      <w:r w:rsidR="00117628">
        <w:rPr>
          <w:rFonts w:asciiTheme="majorHAnsi" w:hAnsiTheme="majorHAnsi"/>
          <w:szCs w:val="22"/>
        </w:rPr>
        <w:t>.</w:t>
      </w:r>
    </w:p>
    <w:p w14:paraId="35F168DB" w14:textId="1B603F1F" w:rsidR="003A5FAB" w:rsidRPr="00323B02" w:rsidRDefault="003A5FAB" w:rsidP="003A5FAB">
      <w:pPr>
        <w:pStyle w:val="BBClause2"/>
        <w:ind w:left="720"/>
        <w:rPr>
          <w:rFonts w:asciiTheme="majorHAnsi" w:hAnsiTheme="majorHAnsi"/>
          <w:szCs w:val="22"/>
        </w:rPr>
      </w:pPr>
      <w:r w:rsidRPr="00323B02">
        <w:rPr>
          <w:rFonts w:asciiTheme="majorHAnsi" w:hAnsiTheme="majorHAnsi"/>
          <w:b/>
          <w:bCs/>
          <w:szCs w:val="22"/>
        </w:rPr>
        <w:t>Guidance to CEG:</w:t>
      </w:r>
      <w:r w:rsidRPr="00323B02">
        <w:rPr>
          <w:rFonts w:asciiTheme="majorHAnsi" w:hAnsiTheme="majorHAnsi"/>
          <w:szCs w:val="22"/>
        </w:rPr>
        <w:t xml:space="preserve"> These Warranties are critical protections. They ensure you have accurate information about the Borrower, the Project and the Sponsor before advancing funds. The deemed repetition on each drawdown means the Borrower must confirm the position remains accurate each time it requests funds - if circumstances change, this will be disclosed or will constitute a breach. A breach of warranty can trigger an Event of Default (clause 15.3) and may also give you a claim for damages. </w:t>
      </w:r>
    </w:p>
    <w:p w14:paraId="156BFE5E" w14:textId="02D4B136" w:rsidR="003A5FAB" w:rsidRPr="00323B02" w:rsidRDefault="003A5FAB" w:rsidP="003A5FAB">
      <w:pPr>
        <w:pStyle w:val="BBHeading1Lower"/>
        <w:numPr>
          <w:ilvl w:val="1"/>
          <w:numId w:val="8"/>
        </w:numPr>
        <w:rPr>
          <w:rFonts w:asciiTheme="majorHAnsi" w:hAnsiTheme="majorHAnsi"/>
          <w:szCs w:val="22"/>
          <w:u w:val="single"/>
        </w:rPr>
      </w:pPr>
      <w:bookmarkStart w:id="24" w:name="_Toc225518694"/>
      <w:r w:rsidRPr="00323B02">
        <w:rPr>
          <w:rFonts w:asciiTheme="majorHAnsi" w:hAnsiTheme="majorHAnsi"/>
          <w:szCs w:val="22"/>
          <w:u w:val="single"/>
        </w:rPr>
        <w:t>Clause 11: Covenants</w:t>
      </w:r>
      <w:bookmarkEnd w:id="24"/>
      <w:r w:rsidRPr="00323B02">
        <w:rPr>
          <w:rFonts w:asciiTheme="majorHAnsi" w:hAnsiTheme="majorHAnsi"/>
          <w:szCs w:val="22"/>
          <w:u w:val="single"/>
        </w:rPr>
        <w:t xml:space="preserve"> </w:t>
      </w:r>
    </w:p>
    <w:p w14:paraId="1029656A" w14:textId="77777777" w:rsidR="00534833" w:rsidRPr="00323B02" w:rsidRDefault="003A5FAB" w:rsidP="00534833">
      <w:pPr>
        <w:pStyle w:val="BBBodyTextIndent1"/>
      </w:pPr>
      <w:r w:rsidRPr="00323B02">
        <w:rPr>
          <w:b/>
          <w:bCs/>
        </w:rPr>
        <w:t>Purpose:</w:t>
      </w:r>
      <w:r w:rsidR="00534833" w:rsidRPr="00323B02">
        <w:rPr>
          <w:b/>
          <w:bCs/>
        </w:rPr>
        <w:t xml:space="preserve"> </w:t>
      </w:r>
      <w:r w:rsidR="00534833" w:rsidRPr="00323B02">
        <w:t xml:space="preserve">This clause contains ongoing obligations (covenants) that the Borrower must comply with from the date of the Agreement until all amounts under the Finance Documents have been repaid. Breach of a covenant (if not remedied within any applicable cure period) constitutes an Event of Default. </w:t>
      </w:r>
    </w:p>
    <w:p w14:paraId="04DD2DDB" w14:textId="548512A7" w:rsidR="00534833" w:rsidRPr="00323B02" w:rsidRDefault="00534833" w:rsidP="00534833">
      <w:pPr>
        <w:pStyle w:val="BBBodyTextIndent1"/>
      </w:pPr>
      <w:r w:rsidRPr="00323B02">
        <w:t>Covenants are a standard feature of loan agreements and serve to protect the Lender by:</w:t>
      </w:r>
    </w:p>
    <w:p w14:paraId="3434DD96" w14:textId="7CBE1E69" w:rsidR="00534833" w:rsidRPr="00323B02" w:rsidRDefault="00534833" w:rsidP="002A294A">
      <w:pPr>
        <w:pStyle w:val="ListParagraph"/>
        <w:numPr>
          <w:ilvl w:val="0"/>
          <w:numId w:val="15"/>
        </w:numPr>
        <w:rPr>
          <w:sz w:val="22"/>
        </w:rPr>
      </w:pPr>
      <w:r w:rsidRPr="00323B02">
        <w:rPr>
          <w:sz w:val="22"/>
          <w:u w:val="single"/>
        </w:rPr>
        <w:t>Providing visibility</w:t>
      </w:r>
      <w:r w:rsidRPr="00323B02">
        <w:rPr>
          <w:sz w:val="22"/>
        </w:rPr>
        <w:t>: Information covenants ensure the Lender receives regular financial and operational updates, enabling it to monitor the Borrower's performance and identify problems early</w:t>
      </w:r>
    </w:p>
    <w:p w14:paraId="29518E18" w14:textId="77777777" w:rsidR="00534833" w:rsidRPr="00323B02" w:rsidRDefault="00534833" w:rsidP="00534833">
      <w:pPr>
        <w:pStyle w:val="ListParagraph"/>
        <w:ind w:left="1440"/>
        <w:rPr>
          <w:sz w:val="22"/>
        </w:rPr>
      </w:pPr>
    </w:p>
    <w:p w14:paraId="6111AC0A" w14:textId="5FB179E3" w:rsidR="00534833" w:rsidRPr="00323B02" w:rsidRDefault="00534833" w:rsidP="00100251">
      <w:pPr>
        <w:pStyle w:val="ListParagraph"/>
        <w:numPr>
          <w:ilvl w:val="0"/>
          <w:numId w:val="15"/>
        </w:numPr>
        <w:rPr>
          <w:rFonts w:asciiTheme="majorHAnsi" w:eastAsia="Times New Roman" w:hAnsiTheme="majorHAnsi"/>
          <w:sz w:val="22"/>
          <w:szCs w:val="22"/>
          <w:lang w:eastAsia="en-GB"/>
        </w:rPr>
      </w:pPr>
      <w:r w:rsidRPr="00323B02">
        <w:rPr>
          <w:sz w:val="22"/>
          <w:u w:val="single"/>
        </w:rPr>
        <w:t>Maintaining the status quo</w:t>
      </w:r>
      <w:r w:rsidRPr="00323B02">
        <w:rPr>
          <w:sz w:val="22"/>
        </w:rPr>
        <w:t xml:space="preserve">: Affirmative covenants (requiring the Borrower to do certain things) ensure the Borrower maintains its business, assets, </w:t>
      </w:r>
      <w:r w:rsidRPr="00323B02">
        <w:rPr>
          <w:rFonts w:asciiTheme="majorHAnsi" w:eastAsia="Times New Roman" w:hAnsiTheme="majorHAnsi"/>
          <w:sz w:val="22"/>
          <w:szCs w:val="22"/>
          <w:lang w:eastAsia="en-GB"/>
        </w:rPr>
        <w:t>authorisations and insurance in good order</w:t>
      </w:r>
    </w:p>
    <w:p w14:paraId="74FB2043" w14:textId="77777777" w:rsidR="00534833" w:rsidRPr="00323B02" w:rsidRDefault="00534833" w:rsidP="00534833">
      <w:pPr>
        <w:pStyle w:val="ListParagraph"/>
        <w:ind w:left="1440"/>
        <w:rPr>
          <w:rFonts w:asciiTheme="majorHAnsi" w:eastAsia="Times New Roman" w:hAnsiTheme="majorHAnsi"/>
          <w:sz w:val="22"/>
          <w:szCs w:val="22"/>
          <w:lang w:eastAsia="en-GB"/>
        </w:rPr>
      </w:pPr>
    </w:p>
    <w:p w14:paraId="1B540B99" w14:textId="1B7F7178" w:rsidR="00534833" w:rsidRPr="00323B02" w:rsidRDefault="00534833" w:rsidP="002A294A">
      <w:pPr>
        <w:pStyle w:val="ListParagraph"/>
        <w:numPr>
          <w:ilvl w:val="0"/>
          <w:numId w:val="15"/>
        </w:numPr>
        <w:rPr>
          <w:sz w:val="22"/>
        </w:rPr>
      </w:pPr>
      <w:r w:rsidRPr="00323B02">
        <w:rPr>
          <w:sz w:val="22"/>
          <w:u w:val="single"/>
        </w:rPr>
        <w:t>Preventing value erosion</w:t>
      </w:r>
      <w:r w:rsidRPr="00323B02">
        <w:rPr>
          <w:sz w:val="22"/>
        </w:rPr>
        <w:t>: Negative covenants (prohibiting the Borrower from doing certain things) prevent the Borrower from taking actions that could diminish the value of its assets, prejudice the Lender's security, or increase risk to the project</w:t>
      </w:r>
    </w:p>
    <w:p w14:paraId="4BEA9963" w14:textId="77777777" w:rsidR="00534833" w:rsidRPr="00323B02" w:rsidRDefault="00534833" w:rsidP="00534833">
      <w:pPr>
        <w:pStyle w:val="ListParagraph"/>
        <w:ind w:left="1440"/>
        <w:rPr>
          <w:sz w:val="22"/>
        </w:rPr>
      </w:pPr>
    </w:p>
    <w:p w14:paraId="024DB8A3" w14:textId="77777777" w:rsidR="00534833" w:rsidRPr="00323B02" w:rsidRDefault="00534833" w:rsidP="002A294A">
      <w:pPr>
        <w:pStyle w:val="ListParagraph"/>
        <w:numPr>
          <w:ilvl w:val="0"/>
          <w:numId w:val="15"/>
        </w:numPr>
        <w:rPr>
          <w:sz w:val="22"/>
        </w:rPr>
      </w:pPr>
      <w:r w:rsidRPr="00323B02">
        <w:rPr>
          <w:sz w:val="22"/>
          <w:u w:val="single"/>
        </w:rPr>
        <w:t>Ensuring compliance</w:t>
      </w:r>
      <w:r w:rsidRPr="00323B02">
        <w:rPr>
          <w:sz w:val="22"/>
        </w:rPr>
        <w:t>: Compliance covenants require the Borrower to comply with applicable laws and the terms of project contracts, reducing legal and operational risks.</w:t>
      </w:r>
    </w:p>
    <w:p w14:paraId="531A30BB" w14:textId="77777777" w:rsidR="00534833" w:rsidRPr="00323B02" w:rsidRDefault="00534833" w:rsidP="00534833">
      <w:pPr>
        <w:pStyle w:val="ListParagraph"/>
        <w:rPr>
          <w:sz w:val="22"/>
        </w:rPr>
      </w:pPr>
    </w:p>
    <w:p w14:paraId="3BF9B530" w14:textId="0AA2A9EC" w:rsidR="00534833" w:rsidRPr="00323B02" w:rsidRDefault="00534833" w:rsidP="00534833">
      <w:pPr>
        <w:pStyle w:val="BBClause2"/>
        <w:ind w:left="720"/>
        <w:rPr>
          <w:b/>
          <w:bCs/>
        </w:rPr>
      </w:pPr>
      <w:r w:rsidRPr="00323B02">
        <w:rPr>
          <w:b/>
          <w:bCs/>
        </w:rPr>
        <w:lastRenderedPageBreak/>
        <w:t xml:space="preserve">Action Required: </w:t>
      </w:r>
    </w:p>
    <w:p w14:paraId="1E0E24A1" w14:textId="149ACF71" w:rsidR="00534833" w:rsidRPr="00323B02" w:rsidRDefault="00534833" w:rsidP="003435FA">
      <w:pPr>
        <w:pStyle w:val="BBClause2"/>
        <w:numPr>
          <w:ilvl w:val="0"/>
          <w:numId w:val="13"/>
        </w:numPr>
        <w:ind w:left="1080"/>
        <w:rPr>
          <w:rFonts w:asciiTheme="majorHAnsi" w:hAnsiTheme="majorHAnsi"/>
          <w:szCs w:val="22"/>
        </w:rPr>
      </w:pPr>
      <w:r w:rsidRPr="00323B02">
        <w:rPr>
          <w:rFonts w:asciiTheme="majorHAnsi" w:hAnsiTheme="majorHAnsi"/>
          <w:szCs w:val="22"/>
        </w:rPr>
        <w:t>Review the time limits for the Borrow</w:t>
      </w:r>
      <w:r w:rsidR="00A34295">
        <w:rPr>
          <w:rFonts w:asciiTheme="majorHAnsi" w:hAnsiTheme="majorHAnsi"/>
          <w:szCs w:val="22"/>
        </w:rPr>
        <w:t>er</w:t>
      </w:r>
      <w:r w:rsidRPr="00323B02">
        <w:rPr>
          <w:rFonts w:asciiTheme="majorHAnsi" w:hAnsiTheme="majorHAnsi"/>
          <w:szCs w:val="22"/>
        </w:rPr>
        <w:t xml:space="preserve"> to provide accounts after </w:t>
      </w:r>
      <w:r w:rsidR="003435FA" w:rsidRPr="00323B02">
        <w:rPr>
          <w:rFonts w:asciiTheme="majorHAnsi" w:hAnsiTheme="majorHAnsi"/>
          <w:szCs w:val="22"/>
        </w:rPr>
        <w:t>the end of each financial year</w:t>
      </w:r>
      <w:r w:rsidRPr="00323B02">
        <w:rPr>
          <w:rFonts w:asciiTheme="majorHAnsi" w:hAnsiTheme="majorHAnsi"/>
          <w:szCs w:val="22"/>
        </w:rPr>
        <w:t xml:space="preserve"> (</w:t>
      </w:r>
      <w:r w:rsidR="003435FA" w:rsidRPr="00323B02">
        <w:rPr>
          <w:rFonts w:asciiTheme="majorHAnsi" w:hAnsiTheme="majorHAnsi"/>
          <w:szCs w:val="22"/>
        </w:rPr>
        <w:t xml:space="preserve">clauses 11.1.1 and 11.1.2) </w:t>
      </w:r>
      <w:r w:rsidRPr="00323B02">
        <w:rPr>
          <w:rFonts w:asciiTheme="majorHAnsi" w:hAnsiTheme="majorHAnsi"/>
          <w:szCs w:val="22"/>
        </w:rPr>
        <w:t xml:space="preserve"> </w:t>
      </w:r>
    </w:p>
    <w:p w14:paraId="1F9FF35B" w14:textId="52570A97" w:rsidR="00534833" w:rsidRPr="00323B02" w:rsidRDefault="00534833" w:rsidP="00534833">
      <w:pPr>
        <w:pStyle w:val="BBClause2"/>
        <w:numPr>
          <w:ilvl w:val="0"/>
          <w:numId w:val="13"/>
        </w:numPr>
        <w:ind w:left="1080"/>
        <w:rPr>
          <w:rFonts w:asciiTheme="majorHAnsi" w:hAnsiTheme="majorHAnsi"/>
          <w:szCs w:val="22"/>
        </w:rPr>
      </w:pPr>
      <w:r w:rsidRPr="00323B02">
        <w:rPr>
          <w:rFonts w:asciiTheme="majorHAnsi" w:hAnsiTheme="majorHAnsi"/>
          <w:szCs w:val="22"/>
        </w:rPr>
        <w:t>Decide whether to include clause 11.7's "substantial" qualifier</w:t>
      </w:r>
    </w:p>
    <w:p w14:paraId="5647ACBE" w14:textId="69608964" w:rsidR="00534833" w:rsidRPr="00323B02" w:rsidRDefault="00534833" w:rsidP="00534833">
      <w:pPr>
        <w:pStyle w:val="BBClause2"/>
        <w:numPr>
          <w:ilvl w:val="0"/>
          <w:numId w:val="13"/>
        </w:numPr>
        <w:ind w:left="1080"/>
        <w:rPr>
          <w:rFonts w:asciiTheme="majorHAnsi" w:hAnsiTheme="majorHAnsi"/>
          <w:szCs w:val="22"/>
        </w:rPr>
      </w:pPr>
      <w:r w:rsidRPr="00323B02">
        <w:rPr>
          <w:rFonts w:asciiTheme="majorHAnsi" w:hAnsiTheme="majorHAnsi"/>
          <w:szCs w:val="22"/>
        </w:rPr>
        <w:t xml:space="preserve">Insert the de minimis </w:t>
      </w:r>
      <w:r w:rsidR="003435FA" w:rsidRPr="00323B02">
        <w:rPr>
          <w:rFonts w:asciiTheme="majorHAnsi" w:hAnsiTheme="majorHAnsi"/>
          <w:szCs w:val="22"/>
        </w:rPr>
        <w:t xml:space="preserve">(i.e. minimum) </w:t>
      </w:r>
      <w:r w:rsidRPr="00323B02">
        <w:rPr>
          <w:rFonts w:asciiTheme="majorHAnsi" w:hAnsiTheme="majorHAnsi"/>
          <w:szCs w:val="22"/>
        </w:rPr>
        <w:t xml:space="preserve">amount for disposals at clause 11.9.3 </w:t>
      </w:r>
    </w:p>
    <w:p w14:paraId="16BAE831" w14:textId="5AB83F48" w:rsidR="00534833" w:rsidRPr="00323B02" w:rsidRDefault="00534833" w:rsidP="00534833">
      <w:pPr>
        <w:pStyle w:val="BBClause2"/>
        <w:numPr>
          <w:ilvl w:val="0"/>
          <w:numId w:val="13"/>
        </w:numPr>
        <w:ind w:left="1080"/>
        <w:rPr>
          <w:rFonts w:asciiTheme="majorHAnsi" w:hAnsiTheme="majorHAnsi"/>
          <w:szCs w:val="22"/>
        </w:rPr>
      </w:pPr>
      <w:r w:rsidRPr="00323B02">
        <w:rPr>
          <w:rFonts w:asciiTheme="majorHAnsi" w:hAnsiTheme="majorHAnsi"/>
          <w:szCs w:val="22"/>
        </w:rPr>
        <w:t>Consider what threshold for settling insurance claims (clause 11.20.2) is appropriate</w:t>
      </w:r>
    </w:p>
    <w:p w14:paraId="1B6A5A3F" w14:textId="66FBFB0F" w:rsidR="00534833" w:rsidRPr="00323B02" w:rsidRDefault="00534833" w:rsidP="00534833">
      <w:pPr>
        <w:pStyle w:val="BBClause2"/>
        <w:numPr>
          <w:ilvl w:val="0"/>
          <w:numId w:val="13"/>
        </w:numPr>
        <w:ind w:left="1080"/>
        <w:rPr>
          <w:rFonts w:asciiTheme="majorHAnsi" w:hAnsiTheme="majorHAnsi"/>
          <w:szCs w:val="22"/>
        </w:rPr>
      </w:pPr>
      <w:r w:rsidRPr="00323B02">
        <w:rPr>
          <w:rFonts w:asciiTheme="majorHAnsi" w:hAnsiTheme="majorHAnsi"/>
          <w:szCs w:val="22"/>
        </w:rPr>
        <w:t>Review the list of notification events in clause 11.21</w:t>
      </w:r>
      <w:r w:rsidR="003435FA" w:rsidRPr="00323B02">
        <w:rPr>
          <w:rFonts w:asciiTheme="majorHAnsi" w:hAnsiTheme="majorHAnsi"/>
          <w:szCs w:val="22"/>
        </w:rPr>
        <w:t>; remove and/or</w:t>
      </w:r>
      <w:r w:rsidRPr="00323B02">
        <w:rPr>
          <w:rFonts w:asciiTheme="majorHAnsi" w:hAnsiTheme="majorHAnsi"/>
          <w:szCs w:val="22"/>
        </w:rPr>
        <w:t xml:space="preserve"> add any project-specific matters</w:t>
      </w:r>
    </w:p>
    <w:p w14:paraId="5A14F070" w14:textId="3F6C97C6" w:rsidR="00534833" w:rsidRPr="00323B02" w:rsidRDefault="00534833" w:rsidP="00534833">
      <w:pPr>
        <w:pStyle w:val="BBClause2"/>
        <w:numPr>
          <w:ilvl w:val="0"/>
          <w:numId w:val="13"/>
        </w:numPr>
        <w:ind w:left="1080"/>
        <w:rPr>
          <w:rFonts w:asciiTheme="majorHAnsi" w:hAnsiTheme="majorHAnsi"/>
          <w:szCs w:val="22"/>
        </w:rPr>
      </w:pPr>
      <w:r w:rsidRPr="00323B02">
        <w:rPr>
          <w:rFonts w:asciiTheme="majorHAnsi" w:hAnsiTheme="majorHAnsi"/>
          <w:szCs w:val="22"/>
        </w:rPr>
        <w:t>Consider whether the percentage threshold for cost overruns (currently 5%) in clause 11.21.14 is appropriate</w:t>
      </w:r>
    </w:p>
    <w:p w14:paraId="0C1C484A" w14:textId="232A08AA" w:rsidR="003A5FAB" w:rsidRPr="00323B02" w:rsidRDefault="003435FA" w:rsidP="003435FA">
      <w:pPr>
        <w:pStyle w:val="BBHeading1Lower"/>
        <w:numPr>
          <w:ilvl w:val="1"/>
          <w:numId w:val="8"/>
        </w:numPr>
        <w:rPr>
          <w:u w:val="single"/>
        </w:rPr>
      </w:pPr>
      <w:bookmarkStart w:id="25" w:name="_Toc225518695"/>
      <w:r w:rsidRPr="00323B02">
        <w:rPr>
          <w:u w:val="single"/>
        </w:rPr>
        <w:t>Clause 12: Financial Covenants</w:t>
      </w:r>
      <w:bookmarkEnd w:id="25"/>
      <w:r w:rsidRPr="00323B02">
        <w:rPr>
          <w:u w:val="single"/>
        </w:rPr>
        <w:t xml:space="preserve"> </w:t>
      </w:r>
    </w:p>
    <w:p w14:paraId="248DE12A" w14:textId="77777777" w:rsidR="00681B51" w:rsidRDefault="00681B51" w:rsidP="00761086">
      <w:pPr>
        <w:pStyle w:val="BBBodyTextIndent1"/>
      </w:pPr>
      <w:r w:rsidRPr="00A34295">
        <w:rPr>
          <w:b/>
          <w:bCs/>
        </w:rPr>
        <w:t>Purpose</w:t>
      </w:r>
      <w:r w:rsidRPr="00681B51">
        <w:t>: This clause sets out quantitative financial tests (financial covenants) that the Borrower must comply with throughout the life of the loan. These tests are designed to give the Lender early warning of financial deterioration and to ensure that the Project generates sufficient revenue to service its debt obligations. The financial covenants in clause 12 are tested quarterly by reference to the financial statements and Compliance Certificates delivered by the Borrower pursuant to clauses 11.1.1, 11.1.2 and 11.2.</w:t>
      </w:r>
    </w:p>
    <w:p w14:paraId="4E07D172" w14:textId="77777777" w:rsidR="00681B51" w:rsidRPr="00681B51" w:rsidRDefault="00681B51" w:rsidP="00A34295">
      <w:pPr>
        <w:pStyle w:val="BBBodyTextIndent1"/>
      </w:pPr>
      <w:r w:rsidRPr="00681B51">
        <w:t>The key financial covenants are:</w:t>
      </w:r>
    </w:p>
    <w:p w14:paraId="1CFAE060" w14:textId="680E5E34" w:rsidR="00681B51" w:rsidRPr="00681B51" w:rsidRDefault="00681B51" w:rsidP="00A34295">
      <w:pPr>
        <w:pStyle w:val="ListParagraph"/>
        <w:numPr>
          <w:ilvl w:val="0"/>
          <w:numId w:val="15"/>
        </w:numPr>
      </w:pPr>
      <w:r w:rsidRPr="00A34295">
        <w:rPr>
          <w:sz w:val="22"/>
          <w:u w:val="single"/>
        </w:rPr>
        <w:t>Debt to Equity Ratio</w:t>
      </w:r>
      <w:r w:rsidRPr="00681B51">
        <w:rPr>
          <w:sz w:val="22"/>
        </w:rPr>
        <w:t xml:space="preserve"> (clause 12.2): a cap on the ratio of the Borrower's outstanding indebtedness to its paid-in equity capital, which limits the Borrower's financial leverage.</w:t>
      </w:r>
    </w:p>
    <w:p w14:paraId="5F7E942C" w14:textId="2CC13C2A" w:rsidR="00681B51" w:rsidRPr="00681B51" w:rsidRDefault="00681B51" w:rsidP="00A34295">
      <w:pPr>
        <w:pStyle w:val="ListParagraph"/>
        <w:numPr>
          <w:ilvl w:val="0"/>
          <w:numId w:val="15"/>
        </w:numPr>
      </w:pPr>
      <w:r w:rsidRPr="00A34295">
        <w:rPr>
          <w:sz w:val="22"/>
          <w:u w:val="single"/>
        </w:rPr>
        <w:t>Historic Debt Service Cover Ratio (HDSCR)</w:t>
      </w:r>
      <w:r w:rsidRPr="00681B51">
        <w:rPr>
          <w:sz w:val="22"/>
        </w:rPr>
        <w:t xml:space="preserve"> (clause 12.3): a backward-looking test measuring whether the Project's historical revenues were sufficient to cover its debt service obligations.</w:t>
      </w:r>
    </w:p>
    <w:p w14:paraId="160738E6" w14:textId="71784E8D" w:rsidR="00681B51" w:rsidRPr="00681B51" w:rsidRDefault="00681B51" w:rsidP="00A34295">
      <w:pPr>
        <w:pStyle w:val="ListParagraph"/>
        <w:numPr>
          <w:ilvl w:val="0"/>
          <w:numId w:val="15"/>
        </w:numPr>
      </w:pPr>
      <w:r w:rsidRPr="00A34295">
        <w:rPr>
          <w:sz w:val="22"/>
          <w:u w:val="single"/>
        </w:rPr>
        <w:t>Projected Debt Service Cover Ratio (PDSCR)</w:t>
      </w:r>
      <w:r w:rsidRPr="00681B51">
        <w:rPr>
          <w:sz w:val="22"/>
        </w:rPr>
        <w:t xml:space="preserve"> (clause 12.4 — optional): a forward-looking equivalent of the HDSCR, based on the Base Case.</w:t>
      </w:r>
    </w:p>
    <w:p w14:paraId="2E1E8C06" w14:textId="092D4E6C" w:rsidR="00681B51" w:rsidRPr="00681B51" w:rsidRDefault="00681B51" w:rsidP="00A34295">
      <w:pPr>
        <w:pStyle w:val="ListParagraph"/>
        <w:numPr>
          <w:ilvl w:val="0"/>
          <w:numId w:val="15"/>
        </w:numPr>
        <w:spacing w:after="240"/>
      </w:pPr>
      <w:r w:rsidRPr="00A34295">
        <w:rPr>
          <w:sz w:val="22"/>
          <w:u w:val="single"/>
        </w:rPr>
        <w:t>Loan Life Coverage Ratio (LLCR)</w:t>
      </w:r>
      <w:r w:rsidRPr="00681B51">
        <w:rPr>
          <w:sz w:val="22"/>
        </w:rPr>
        <w:t xml:space="preserve"> (clause 12.5): a forward-looking test measuring whether the net present value of forecast revenues over the remaining life of the loan is sufficient to repay the outstanding debt.</w:t>
      </w:r>
    </w:p>
    <w:p w14:paraId="77A4798C" w14:textId="12A0C69D" w:rsidR="006F2E99" w:rsidRPr="00A34295" w:rsidRDefault="006F2E99" w:rsidP="00761086">
      <w:pPr>
        <w:pStyle w:val="BBBodyTextIndent1"/>
        <w:rPr>
          <w:b/>
          <w:bCs/>
        </w:rPr>
      </w:pPr>
      <w:r w:rsidRPr="00A34295">
        <w:rPr>
          <w:b/>
          <w:bCs/>
        </w:rPr>
        <w:t xml:space="preserve">Action Required: </w:t>
      </w:r>
    </w:p>
    <w:p w14:paraId="1EF09F16" w14:textId="77777777" w:rsidR="00372E97" w:rsidRDefault="00372E97" w:rsidP="00372E97">
      <w:pPr>
        <w:pStyle w:val="BBBodyTextIndent1"/>
        <w:numPr>
          <w:ilvl w:val="0"/>
          <w:numId w:val="20"/>
        </w:numPr>
      </w:pPr>
      <w:r>
        <w:t xml:space="preserve">Review the financial definitions in clause 12.1 to ensure they are relevant to your Project. </w:t>
      </w:r>
    </w:p>
    <w:p w14:paraId="6E0AD6C1" w14:textId="77777777" w:rsidR="00915902" w:rsidRDefault="00915902" w:rsidP="00915902">
      <w:pPr>
        <w:pStyle w:val="BBBodyTextIndent1"/>
        <w:numPr>
          <w:ilvl w:val="0"/>
          <w:numId w:val="20"/>
        </w:numPr>
      </w:pPr>
      <w:r>
        <w:t>Review and decide which financial covenants are appropriate for your Project — the PDSCR (clause 12.4) and the equity cure provisions (clauses 12.7 and 12.8) are optional.</w:t>
      </w:r>
    </w:p>
    <w:p w14:paraId="0A26F807" w14:textId="77777777" w:rsidR="00915902" w:rsidRDefault="00915902" w:rsidP="00915902">
      <w:pPr>
        <w:pStyle w:val="BBBodyTextIndent1"/>
        <w:numPr>
          <w:ilvl w:val="0"/>
          <w:numId w:val="20"/>
        </w:numPr>
      </w:pPr>
      <w:r>
        <w:t>Insert the maximum Debt to Equity Ratio at clause 12.2.</w:t>
      </w:r>
    </w:p>
    <w:p w14:paraId="5D288A46" w14:textId="09382455" w:rsidR="00915902" w:rsidRDefault="00915902" w:rsidP="00915902">
      <w:pPr>
        <w:pStyle w:val="BBBodyTextIndent1"/>
        <w:numPr>
          <w:ilvl w:val="0"/>
          <w:numId w:val="20"/>
        </w:numPr>
      </w:pPr>
      <w:r>
        <w:t xml:space="preserve">Insert the starting </w:t>
      </w:r>
      <w:r w:rsidR="007C0B5D">
        <w:t>Test</w:t>
      </w:r>
      <w:r>
        <w:t xml:space="preserve"> Date and minimum HDSCR threshold at clause 12.3.</w:t>
      </w:r>
    </w:p>
    <w:p w14:paraId="774D857B" w14:textId="54CB6ECA" w:rsidR="00915902" w:rsidRDefault="00915902" w:rsidP="00915902">
      <w:pPr>
        <w:pStyle w:val="BBBodyTextIndent1"/>
        <w:numPr>
          <w:ilvl w:val="0"/>
          <w:numId w:val="20"/>
        </w:numPr>
      </w:pPr>
      <w:r>
        <w:t xml:space="preserve">If including clause 12.4, insert the starting </w:t>
      </w:r>
      <w:r w:rsidR="007C0B5D">
        <w:t>Test</w:t>
      </w:r>
      <w:r>
        <w:t xml:space="preserve"> Date and minimum PDSCR threshold.</w:t>
      </w:r>
    </w:p>
    <w:p w14:paraId="7AE772F1" w14:textId="77777777" w:rsidR="00915902" w:rsidRDefault="00915902" w:rsidP="00915902">
      <w:pPr>
        <w:pStyle w:val="BBBodyTextIndent1"/>
        <w:numPr>
          <w:ilvl w:val="0"/>
          <w:numId w:val="20"/>
        </w:numPr>
      </w:pPr>
      <w:r>
        <w:lastRenderedPageBreak/>
        <w:t>Insert the minimum LLCR threshold at clause 12.5.</w:t>
      </w:r>
    </w:p>
    <w:p w14:paraId="29E870BC" w14:textId="77777777" w:rsidR="00915902" w:rsidRDefault="00915902" w:rsidP="00915902">
      <w:pPr>
        <w:pStyle w:val="BBBodyTextIndent1"/>
        <w:numPr>
          <w:ilvl w:val="0"/>
          <w:numId w:val="20"/>
        </w:numPr>
      </w:pPr>
      <w:r>
        <w:t>Insert the Discount Rate at the definition of "Discount Rate" in clause 12.1 — this can be a fixed percentage or a formula linked to the forecast weighted average interest rate.</w:t>
      </w:r>
    </w:p>
    <w:p w14:paraId="10C221F1" w14:textId="025F6D6A" w:rsidR="00915902" w:rsidRDefault="00915902" w:rsidP="00915902">
      <w:pPr>
        <w:pStyle w:val="BBBodyTextIndent1"/>
        <w:numPr>
          <w:ilvl w:val="0"/>
          <w:numId w:val="20"/>
        </w:numPr>
      </w:pPr>
      <w:r>
        <w:t xml:space="preserve">Insert the </w:t>
      </w:r>
      <w:r w:rsidR="007C0B5D">
        <w:t>Test</w:t>
      </w:r>
      <w:r>
        <w:t xml:space="preserve"> Dates and confirm the definition of "Relevant Period" at clause 12.1.</w:t>
      </w:r>
    </w:p>
    <w:p w14:paraId="0D4B654B" w14:textId="77777777" w:rsidR="00915902" w:rsidRDefault="00915902" w:rsidP="00915902">
      <w:pPr>
        <w:pStyle w:val="BBBodyTextIndent1"/>
        <w:numPr>
          <w:ilvl w:val="0"/>
          <w:numId w:val="20"/>
        </w:numPr>
      </w:pPr>
      <w:r>
        <w:t>Insert the reference to the Base Case financial model in the definition of "Base Case" at clause 12.1.</w:t>
      </w:r>
    </w:p>
    <w:p w14:paraId="2A7C551E" w14:textId="77777777" w:rsidR="00915902" w:rsidRDefault="00915902" w:rsidP="00915902">
      <w:pPr>
        <w:pStyle w:val="BBBodyTextIndent1"/>
        <w:numPr>
          <w:ilvl w:val="0"/>
          <w:numId w:val="20"/>
        </w:numPr>
      </w:pPr>
      <w:r>
        <w:t>Review and select between the alternative drafting options marked [OR] throughout clause 12.1 (including whether calculations are on a paid or accrued basis and whether they apply to the Borrower or each Obligor).</w:t>
      </w:r>
    </w:p>
    <w:p w14:paraId="4D01A34A" w14:textId="77777777" w:rsidR="00915902" w:rsidRDefault="00915902" w:rsidP="00915902">
      <w:pPr>
        <w:pStyle w:val="BBBodyTextIndent1"/>
        <w:numPr>
          <w:ilvl w:val="0"/>
          <w:numId w:val="20"/>
        </w:numPr>
      </w:pPr>
      <w:r>
        <w:t>Consider whether the optional Commodity Hedging Transaction provisions are relevant to your Project; if not, delete those references from the financial definitions and the Operating Costs definition.</w:t>
      </w:r>
    </w:p>
    <w:p w14:paraId="625E5496" w14:textId="58CA62F7" w:rsidR="006F2E99" w:rsidRDefault="00915902" w:rsidP="00A34295">
      <w:pPr>
        <w:pStyle w:val="BBBodyTextIndent1"/>
        <w:numPr>
          <w:ilvl w:val="0"/>
          <w:numId w:val="20"/>
        </w:numPr>
      </w:pPr>
      <w:r>
        <w:t>If including the equity cure provisions, insert the permitted number of cures per covenant per financial year and in aggregate before the final Repayment Date in clauses 12.7 and 12.8.</w:t>
      </w:r>
    </w:p>
    <w:p w14:paraId="0B6D8993" w14:textId="3CF02211" w:rsidR="00D5730D" w:rsidRPr="00A34295" w:rsidRDefault="006F2E99" w:rsidP="00D5730D">
      <w:pPr>
        <w:pStyle w:val="BBBodyTextIndent1"/>
      </w:pPr>
      <w:r w:rsidRPr="00D5730D">
        <w:rPr>
          <w:bCs/>
        </w:rPr>
        <w:t xml:space="preserve">Guidance to CEG: </w:t>
      </w:r>
      <w:r w:rsidR="00915902" w:rsidRPr="00E12B65">
        <w:t>The financial covenants are among your most important protections as Lender,</w:t>
      </w:r>
      <w:r w:rsidR="00915902" w:rsidRPr="00D5730D">
        <w:rPr>
          <w:bCs/>
        </w:rPr>
        <w:t xml:space="preserve"> </w:t>
      </w:r>
      <w:r w:rsidR="00915902" w:rsidRPr="00E12B65">
        <w:t>providing quantitative early warning of financial stress. The HDSCR gives you a backward-looking measure of historical performance, while the LLCR gives a forward-looking measure of the Project's ability to repay the loan over its remaining life. Ensure the covenant thresholds are set at levels that reflect the risk profile and cashflow characteristics of your Project — seek your financial advisers' input. The Compliance Certificate (Schedule 3) is the formal mechanism by which compliance is reported. If including the equity cure right, consider carefully how many cure opportunities are appropriate and ensure the restrictions in clause 12.8 prevent overuse. Seek legal advice before taking action in response to any financial covenant breach.</w:t>
      </w:r>
    </w:p>
    <w:p w14:paraId="1EFF0D35" w14:textId="1DA330C3" w:rsidR="003435FA" w:rsidRPr="00323B02" w:rsidRDefault="003435FA" w:rsidP="003435FA">
      <w:pPr>
        <w:pStyle w:val="BBHeading1Lower"/>
        <w:numPr>
          <w:ilvl w:val="1"/>
          <w:numId w:val="8"/>
        </w:numPr>
        <w:rPr>
          <w:u w:val="single"/>
        </w:rPr>
      </w:pPr>
      <w:bookmarkStart w:id="26" w:name="_Toc225518696"/>
      <w:r w:rsidRPr="00323B02">
        <w:rPr>
          <w:u w:val="single"/>
        </w:rPr>
        <w:t>Clause 13: Budgets and Reporting</w:t>
      </w:r>
      <w:bookmarkEnd w:id="26"/>
      <w:r w:rsidRPr="00323B02">
        <w:rPr>
          <w:u w:val="single"/>
        </w:rPr>
        <w:t xml:space="preserve"> </w:t>
      </w:r>
    </w:p>
    <w:p w14:paraId="32E8773F" w14:textId="00ACD4EA" w:rsidR="00681B51" w:rsidRDefault="00681B51" w:rsidP="00761086">
      <w:pPr>
        <w:pStyle w:val="BBBodyTextIndent1"/>
      </w:pPr>
      <w:r>
        <w:t xml:space="preserve">Purpose: This clause sets out </w:t>
      </w:r>
      <w:r w:rsidRPr="00681B51">
        <w:t xml:space="preserve">detailed </w:t>
      </w:r>
      <w:r w:rsidR="00203B55" w:rsidRPr="00681B51">
        <w:t>information</w:t>
      </w:r>
      <w:r w:rsidR="00203B55">
        <w:t xml:space="preserve"> </w:t>
      </w:r>
      <w:r w:rsidR="00203B55" w:rsidRPr="00681B51">
        <w:t>and</w:t>
      </w:r>
      <w:r w:rsidRPr="00681B51">
        <w:t xml:space="preserve"> reporting obligations on the Borrower throughout the life of the loan. It operates in two phases</w:t>
      </w:r>
      <w:r>
        <w:t xml:space="preserve">: </w:t>
      </w:r>
    </w:p>
    <w:p w14:paraId="4D4DBE80" w14:textId="77777777" w:rsidR="00681B51" w:rsidRDefault="00681B51" w:rsidP="00681B51">
      <w:pPr>
        <w:pStyle w:val="BBBodyTextIndent1"/>
        <w:numPr>
          <w:ilvl w:val="0"/>
          <w:numId w:val="21"/>
        </w:numPr>
      </w:pPr>
      <w:r w:rsidRPr="00681B51">
        <w:t>the construction phase (from first drawdown to Substantial Completion)</w:t>
      </w:r>
      <w:r>
        <w:t>;</w:t>
      </w:r>
      <w:r w:rsidRPr="00681B51">
        <w:t xml:space="preserve"> and </w:t>
      </w:r>
    </w:p>
    <w:p w14:paraId="3347D4A2" w14:textId="00829ACA" w:rsidR="00681B51" w:rsidRDefault="00681B51" w:rsidP="00681B51">
      <w:pPr>
        <w:pStyle w:val="BBBodyTextIndent1"/>
        <w:numPr>
          <w:ilvl w:val="0"/>
          <w:numId w:val="21"/>
        </w:numPr>
      </w:pPr>
      <w:r w:rsidRPr="00681B51">
        <w:t>the operational phase (from Substantial Completion to final repayment)</w:t>
      </w:r>
      <w:r w:rsidR="00844BF2">
        <w:t>.</w:t>
      </w:r>
    </w:p>
    <w:p w14:paraId="68BEC0C1" w14:textId="44AE02E7" w:rsidR="00761086" w:rsidRDefault="00681B51" w:rsidP="00681B51">
      <w:pPr>
        <w:pStyle w:val="BBBodyTextIndent1"/>
      </w:pPr>
      <w:r>
        <w:t xml:space="preserve">It is </w:t>
      </w:r>
      <w:r w:rsidRPr="00681B51">
        <w:t>the primary mechanism by which the Lender monitors the progress and performance of the Project.</w:t>
      </w:r>
    </w:p>
    <w:p w14:paraId="434BDEFD" w14:textId="77777777" w:rsidR="00681B51" w:rsidRPr="00A34295" w:rsidRDefault="00681B51" w:rsidP="00681B51">
      <w:pPr>
        <w:pStyle w:val="BBBodyTextIndent1"/>
        <w:rPr>
          <w:b/>
          <w:bCs/>
        </w:rPr>
      </w:pPr>
      <w:r w:rsidRPr="00A34295">
        <w:rPr>
          <w:b/>
          <w:bCs/>
        </w:rPr>
        <w:t>Action Required:</w:t>
      </w:r>
    </w:p>
    <w:p w14:paraId="48180A52" w14:textId="4EF32DB9" w:rsidR="00915902" w:rsidRDefault="00681B51" w:rsidP="00915902">
      <w:pPr>
        <w:pStyle w:val="BBBodyTextIndent1"/>
        <w:numPr>
          <w:ilvl w:val="0"/>
          <w:numId w:val="22"/>
        </w:numPr>
      </w:pPr>
      <w:r>
        <w:t>R</w:t>
      </w:r>
      <w:r w:rsidR="00915902">
        <w:t>eview and confirm the permitted tolerance for unilateral Construction Budget revisions (currently 5% per line item, capped at £10,000 per month and £50,000 per year) at clause 13.1.1 and adjust to reflect your Project's scale and risk appetite.</w:t>
      </w:r>
    </w:p>
    <w:p w14:paraId="388E166E" w14:textId="77777777" w:rsidR="00915902" w:rsidRDefault="00915902" w:rsidP="00915902">
      <w:pPr>
        <w:pStyle w:val="BBBodyTextIndent1"/>
        <w:numPr>
          <w:ilvl w:val="0"/>
          <w:numId w:val="22"/>
        </w:numPr>
      </w:pPr>
      <w:r>
        <w:t>Confirm the 15 Business Day period for the Borrower to respond to a request for a revised Construction Budget (clause 13.1.3) and Annual Operating Budget (clause 13.2.3).</w:t>
      </w:r>
    </w:p>
    <w:p w14:paraId="0B9B2643" w14:textId="77777777" w:rsidR="00915902" w:rsidRDefault="00915902" w:rsidP="00915902">
      <w:pPr>
        <w:pStyle w:val="BBBodyTextIndent1"/>
        <w:numPr>
          <w:ilvl w:val="0"/>
          <w:numId w:val="22"/>
        </w:numPr>
      </w:pPr>
      <w:r>
        <w:lastRenderedPageBreak/>
        <w:t>Confirm the 30 Business Day lead time for delivery of the initial Annual Operating Budget before Substantial Completion (clause 13.2.1.1).</w:t>
      </w:r>
    </w:p>
    <w:p w14:paraId="3EC1221E" w14:textId="77777777" w:rsidR="00915902" w:rsidRDefault="00915902" w:rsidP="00915902">
      <w:pPr>
        <w:pStyle w:val="BBBodyTextIndent1"/>
        <w:numPr>
          <w:ilvl w:val="0"/>
          <w:numId w:val="22"/>
        </w:numPr>
      </w:pPr>
      <w:r>
        <w:t>Review clause 13.3.1.9 and identify any project-specific information to require in construction reports on an ongoing basis.</w:t>
      </w:r>
    </w:p>
    <w:p w14:paraId="113F0CEB" w14:textId="77777777" w:rsidR="00915902" w:rsidRDefault="00915902" w:rsidP="00915902">
      <w:pPr>
        <w:pStyle w:val="BBBodyTextIndent1"/>
        <w:numPr>
          <w:ilvl w:val="0"/>
          <w:numId w:val="22"/>
        </w:numPr>
      </w:pPr>
      <w:r>
        <w:t>Consider whether the optional production hours and metered output estimate at clause 13.4.4 is relevant to your Project and, if so, tailor accordingly.</w:t>
      </w:r>
    </w:p>
    <w:p w14:paraId="14DFC07E" w14:textId="77777777" w:rsidR="00915902" w:rsidRDefault="00915902" w:rsidP="00915902">
      <w:pPr>
        <w:pStyle w:val="BBBodyTextIndent1"/>
        <w:numPr>
          <w:ilvl w:val="0"/>
          <w:numId w:val="22"/>
        </w:numPr>
      </w:pPr>
      <w:r>
        <w:t>Consider whether the optional average, maximum and minimum metered output and production hours at clause 13.5.4 is appropriate for your Project.</w:t>
      </w:r>
    </w:p>
    <w:p w14:paraId="4886B408" w14:textId="77777777" w:rsidR="00915902" w:rsidRDefault="00915902" w:rsidP="00915902">
      <w:pPr>
        <w:pStyle w:val="BBBodyTextIndent1"/>
        <w:numPr>
          <w:ilvl w:val="0"/>
          <w:numId w:val="22"/>
        </w:numPr>
      </w:pPr>
      <w:r>
        <w:t>Check and update the cross-reference to clause 13 in the definition of "Construction Budget" in clause 1 once the clause numbering is finalised.</w:t>
      </w:r>
    </w:p>
    <w:p w14:paraId="54762C38" w14:textId="3E3282D7" w:rsidR="00681B51" w:rsidRPr="00323B02" w:rsidRDefault="00681B51" w:rsidP="00844BF2">
      <w:pPr>
        <w:pStyle w:val="BBBodyTextIndent1"/>
      </w:pPr>
      <w:r w:rsidRPr="00A34295">
        <w:rPr>
          <w:b/>
          <w:bCs/>
        </w:rPr>
        <w:t>Guidance to CEG</w:t>
      </w:r>
      <w:r w:rsidRPr="00681B51">
        <w:t xml:space="preserve">: </w:t>
      </w:r>
      <w:r w:rsidR="00915902" w:rsidRPr="00915902">
        <w:t xml:space="preserve">The reporting obligations in clause 13 are </w:t>
      </w:r>
      <w:r w:rsidR="00372E97">
        <w:t>a</w:t>
      </w:r>
      <w:r w:rsidR="00915902" w:rsidRPr="00915902">
        <w:t xml:space="preserve"> window into the progress and performance of the Project. Regular, detailed reports allow you to identify problems early and take action before they escalate. During construction, the monthly reports allow you to track progress against the Development Programme and the Construction Budget and identify any emerging Forecast Funding Shortfall. After Substantial Completion, the quarterly operating reports allow you to monitor revenue performance against the Annual Operating Budget, which feeds directly into financial covenant testing under clause 12. </w:t>
      </w:r>
    </w:p>
    <w:p w14:paraId="37E79899" w14:textId="2BD2B6A5" w:rsidR="006040F4" w:rsidRPr="00323B02" w:rsidRDefault="006040F4" w:rsidP="006040F4">
      <w:pPr>
        <w:pStyle w:val="BBHeading1Lower"/>
        <w:numPr>
          <w:ilvl w:val="1"/>
          <w:numId w:val="8"/>
        </w:numPr>
        <w:rPr>
          <w:b w:val="0"/>
          <w:bCs/>
          <w:u w:val="single"/>
        </w:rPr>
      </w:pPr>
      <w:bookmarkStart w:id="27" w:name="_Toc225518697"/>
      <w:r w:rsidRPr="00323B02">
        <w:rPr>
          <w:u w:val="single"/>
        </w:rPr>
        <w:t>Clause</w:t>
      </w:r>
      <w:r w:rsidRPr="00323B02">
        <w:rPr>
          <w:b w:val="0"/>
          <w:bCs/>
          <w:u w:val="single"/>
        </w:rPr>
        <w:t xml:space="preserve"> </w:t>
      </w:r>
      <w:r w:rsidRPr="00323B02">
        <w:rPr>
          <w:u w:val="single"/>
        </w:rPr>
        <w:t>14: Access and Inspection Requirements</w:t>
      </w:r>
      <w:bookmarkEnd w:id="27"/>
      <w:r w:rsidRPr="00323B02">
        <w:rPr>
          <w:b w:val="0"/>
          <w:bCs/>
          <w:u w:val="single"/>
        </w:rPr>
        <w:t xml:space="preserve"> </w:t>
      </w:r>
    </w:p>
    <w:p w14:paraId="0EBFEBD4" w14:textId="467A33D5" w:rsidR="00761086" w:rsidRDefault="00915902" w:rsidP="00761086">
      <w:pPr>
        <w:pStyle w:val="BBBodyTextIndent1"/>
      </w:pPr>
      <w:r w:rsidRPr="00A34295">
        <w:rPr>
          <w:b/>
          <w:bCs/>
        </w:rPr>
        <w:t>Purpose</w:t>
      </w:r>
      <w:r w:rsidRPr="00915902">
        <w:t>: This clause supplements the reporting obligations in clause 13 by giving the Lender active rights to inspect the Site, the Project and the Borrower's books and records, and to attend meetings and tests. These rights allow the Lender to verify information provided by the Borrower and to conduct its own independent assessment of the Project's progress and condition</w:t>
      </w:r>
      <w:r w:rsidR="00844BF2">
        <w:t xml:space="preserve">, and </w:t>
      </w:r>
      <w:r w:rsidRPr="00915902">
        <w:t>to minimise, any disruption to the operation of the Project.</w:t>
      </w:r>
    </w:p>
    <w:p w14:paraId="07C58D4A" w14:textId="77777777" w:rsidR="00915902" w:rsidRPr="00A34295" w:rsidRDefault="00915902" w:rsidP="00915902">
      <w:pPr>
        <w:pStyle w:val="BBBodyTextIndent1"/>
        <w:rPr>
          <w:b/>
          <w:bCs/>
        </w:rPr>
      </w:pPr>
      <w:r w:rsidRPr="00A34295">
        <w:rPr>
          <w:b/>
          <w:bCs/>
        </w:rPr>
        <w:t>Action Required:</w:t>
      </w:r>
    </w:p>
    <w:p w14:paraId="24006ECA" w14:textId="33EDB7D3" w:rsidR="00915902" w:rsidRDefault="00915902" w:rsidP="00A34295">
      <w:pPr>
        <w:pStyle w:val="BBBodyTextIndent1"/>
        <w:numPr>
          <w:ilvl w:val="0"/>
          <w:numId w:val="24"/>
        </w:numPr>
      </w:pPr>
      <w:r>
        <w:t>Review and confirm notice period required for tests, inspections and meetings at clause 14.3 and adjust if appropriate for your Project.</w:t>
      </w:r>
    </w:p>
    <w:p w14:paraId="17A0BC8C" w14:textId="77777777" w:rsidR="00915902" w:rsidRDefault="00915902" w:rsidP="00A34295">
      <w:pPr>
        <w:pStyle w:val="BBBodyTextIndent1"/>
        <w:numPr>
          <w:ilvl w:val="0"/>
          <w:numId w:val="24"/>
        </w:numPr>
      </w:pPr>
      <w:r>
        <w:t>Review the references to the O&amp;M Contract and the Power Purchase Agreement at clause 14.3 and update to reflect the actual Project Documents relevant to your Project; delete any that are not applicable.</w:t>
      </w:r>
    </w:p>
    <w:p w14:paraId="77433FF5" w14:textId="77777777" w:rsidR="00915902" w:rsidRDefault="00915902" w:rsidP="00A34295">
      <w:pPr>
        <w:pStyle w:val="BBBodyTextIndent1"/>
        <w:numPr>
          <w:ilvl w:val="0"/>
          <w:numId w:val="24"/>
        </w:numPr>
      </w:pPr>
      <w:r>
        <w:t>Consider whether the optional references to material tests or inspections under the EPC Contract and progress meetings under the EPC Contract at clauses 14.3.1 and 14.3.2 are appropriate for your Project.</w:t>
      </w:r>
    </w:p>
    <w:p w14:paraId="2F5A3403" w14:textId="77777777" w:rsidR="00915902" w:rsidRDefault="00915902" w:rsidP="00A34295">
      <w:pPr>
        <w:pStyle w:val="BBBodyTextIndent1"/>
        <w:numPr>
          <w:ilvl w:val="0"/>
          <w:numId w:val="24"/>
        </w:numPr>
      </w:pPr>
      <w:r>
        <w:t>Ensure that any confidentiality obligations in the Project Documents are identified so that access rights can be exercised consistently with clause 14.7.</w:t>
      </w:r>
    </w:p>
    <w:p w14:paraId="1F539FB4" w14:textId="37BFFAC5" w:rsidR="00915902" w:rsidRPr="00323B02" w:rsidRDefault="00915902" w:rsidP="00915902">
      <w:pPr>
        <w:pStyle w:val="BBBodyTextIndent1"/>
      </w:pPr>
      <w:r w:rsidRPr="00A34295">
        <w:rPr>
          <w:b/>
          <w:bCs/>
        </w:rPr>
        <w:t>Guidance to CEG</w:t>
      </w:r>
      <w:r>
        <w:t xml:space="preserve">: The access and inspection rights in clause 14 are a critical complement to the reporting obligations in clause 13 — they allow you to verify information independently rather than relying solely on what the Borrower provides. These rights are particularly valuable if you have concerns about compliance or the accuracy of reports — for example, where construction appears to be falling behind programme or costs appear inconsistent with reported progress. </w:t>
      </w:r>
    </w:p>
    <w:p w14:paraId="7B984F1C" w14:textId="0A4B4F1A" w:rsidR="006040F4" w:rsidRPr="00323B02" w:rsidRDefault="006040F4" w:rsidP="006040F4">
      <w:pPr>
        <w:pStyle w:val="BBHeading1Lower"/>
        <w:numPr>
          <w:ilvl w:val="1"/>
          <w:numId w:val="8"/>
        </w:numPr>
        <w:rPr>
          <w:u w:val="single"/>
        </w:rPr>
      </w:pPr>
      <w:bookmarkStart w:id="28" w:name="_Toc225518698"/>
      <w:r w:rsidRPr="00323B02">
        <w:rPr>
          <w:u w:val="single"/>
        </w:rPr>
        <w:lastRenderedPageBreak/>
        <w:t>Clause 15: Events of Default</w:t>
      </w:r>
      <w:bookmarkEnd w:id="28"/>
    </w:p>
    <w:p w14:paraId="7E94E1CF" w14:textId="54D6B8C2" w:rsidR="006040F4" w:rsidRPr="00323B02" w:rsidRDefault="006040F4" w:rsidP="006040F4">
      <w:pPr>
        <w:pStyle w:val="BBBodyTextIndent1"/>
      </w:pPr>
      <w:r w:rsidRPr="00323B02">
        <w:rPr>
          <w:b/>
          <w:bCs/>
        </w:rPr>
        <w:t xml:space="preserve">Purpose: </w:t>
      </w:r>
      <w:r w:rsidRPr="00323B02">
        <w:t>This clause defines the events or circumstances that constitute an Event of Default, giving the Lender the right to cancel its commitments, accelerate repayment, and enforce security. Events of Default represent fundamental breaches or circumstances where the Lender's investment is at risk.</w:t>
      </w:r>
    </w:p>
    <w:p w14:paraId="4A44C770" w14:textId="3F13AE18" w:rsidR="006040F4" w:rsidRPr="00323B02" w:rsidRDefault="006040F4" w:rsidP="006040F4">
      <w:pPr>
        <w:pStyle w:val="BBBodyTextIndent1"/>
        <w:ind w:left="0"/>
      </w:pPr>
      <w:r w:rsidRPr="00323B02">
        <w:tab/>
      </w:r>
      <w:r w:rsidRPr="00323B02">
        <w:rPr>
          <w:b/>
          <w:bCs/>
        </w:rPr>
        <w:t xml:space="preserve">Action Required </w:t>
      </w:r>
    </w:p>
    <w:p w14:paraId="03E65037" w14:textId="6559A3BB" w:rsidR="006040F4" w:rsidRPr="00323B02" w:rsidRDefault="006040F4" w:rsidP="00F005B6">
      <w:pPr>
        <w:pStyle w:val="BBClause2"/>
        <w:numPr>
          <w:ilvl w:val="0"/>
          <w:numId w:val="13"/>
        </w:numPr>
        <w:ind w:left="1080"/>
        <w:rPr>
          <w:rFonts w:asciiTheme="majorHAnsi" w:hAnsiTheme="majorHAnsi"/>
          <w:szCs w:val="22"/>
        </w:rPr>
      </w:pPr>
      <w:r w:rsidRPr="00323B02">
        <w:rPr>
          <w:rFonts w:asciiTheme="majorHAnsi" w:hAnsiTheme="majorHAnsi"/>
          <w:szCs w:val="22"/>
        </w:rPr>
        <w:t xml:space="preserve">Insert the cure period for non-payment defaults at clause 15.2 </w:t>
      </w:r>
    </w:p>
    <w:p w14:paraId="359FF219" w14:textId="4D956771" w:rsidR="006040F4" w:rsidRPr="00323B02" w:rsidRDefault="006040F4" w:rsidP="00F005B6">
      <w:pPr>
        <w:pStyle w:val="BBClause2"/>
        <w:numPr>
          <w:ilvl w:val="0"/>
          <w:numId w:val="13"/>
        </w:numPr>
        <w:ind w:left="1080"/>
        <w:rPr>
          <w:rFonts w:asciiTheme="majorHAnsi" w:hAnsiTheme="majorHAnsi"/>
          <w:szCs w:val="22"/>
        </w:rPr>
      </w:pPr>
      <w:r w:rsidRPr="00323B02">
        <w:rPr>
          <w:rFonts w:asciiTheme="majorHAnsi" w:hAnsiTheme="majorHAnsi"/>
          <w:szCs w:val="22"/>
        </w:rPr>
        <w:t xml:space="preserve">Decide whether to include Material Project Party and/or Sponsor in </w:t>
      </w:r>
      <w:r w:rsidR="00F005B6" w:rsidRPr="00323B02">
        <w:rPr>
          <w:rFonts w:asciiTheme="majorHAnsi" w:hAnsiTheme="majorHAnsi"/>
          <w:szCs w:val="22"/>
        </w:rPr>
        <w:t>clauses 15.4, 15.5, 15.6, and 15.8 – 15.11</w:t>
      </w:r>
      <w:r w:rsidRPr="00323B02">
        <w:rPr>
          <w:rFonts w:asciiTheme="majorHAnsi" w:hAnsiTheme="majorHAnsi"/>
          <w:szCs w:val="22"/>
        </w:rPr>
        <w:t xml:space="preserve"> </w:t>
      </w:r>
    </w:p>
    <w:p w14:paraId="22714727" w14:textId="336A396F" w:rsidR="006040F4" w:rsidRPr="00323B02" w:rsidRDefault="006040F4" w:rsidP="00F005B6">
      <w:pPr>
        <w:pStyle w:val="BBClause2"/>
        <w:numPr>
          <w:ilvl w:val="0"/>
          <w:numId w:val="13"/>
        </w:numPr>
        <w:ind w:left="1080"/>
        <w:rPr>
          <w:rFonts w:asciiTheme="majorHAnsi" w:hAnsiTheme="majorHAnsi"/>
          <w:szCs w:val="22"/>
        </w:rPr>
      </w:pPr>
      <w:r w:rsidRPr="00323B02">
        <w:rPr>
          <w:rFonts w:asciiTheme="majorHAnsi" w:hAnsiTheme="majorHAnsi"/>
          <w:szCs w:val="22"/>
        </w:rPr>
        <w:t xml:space="preserve">Insert the de minimis threshold for cross-default (clause 15.5) - consider what amount is material in the context of your facility; </w:t>
      </w:r>
    </w:p>
    <w:p w14:paraId="5ADF1B92" w14:textId="6A9E6005" w:rsidR="006040F4" w:rsidRPr="00323B02" w:rsidRDefault="006040F4" w:rsidP="00F005B6">
      <w:pPr>
        <w:pStyle w:val="BBClause2"/>
        <w:numPr>
          <w:ilvl w:val="0"/>
          <w:numId w:val="13"/>
        </w:numPr>
        <w:ind w:left="1080"/>
        <w:rPr>
          <w:rFonts w:asciiTheme="majorHAnsi" w:hAnsiTheme="majorHAnsi"/>
          <w:szCs w:val="22"/>
        </w:rPr>
      </w:pPr>
      <w:r w:rsidRPr="00323B02">
        <w:rPr>
          <w:rFonts w:asciiTheme="majorHAnsi" w:hAnsiTheme="majorHAnsi"/>
          <w:szCs w:val="22"/>
        </w:rPr>
        <w:t xml:space="preserve">Insert the threshold amount for enforcement (clause 15.12) and the cure period; </w:t>
      </w:r>
    </w:p>
    <w:p w14:paraId="3C31A6A7" w14:textId="40CCFDCA" w:rsidR="006040F4" w:rsidRPr="00323B02" w:rsidRDefault="006040F4" w:rsidP="00F005B6">
      <w:pPr>
        <w:pStyle w:val="BBClause2"/>
        <w:numPr>
          <w:ilvl w:val="0"/>
          <w:numId w:val="13"/>
        </w:numPr>
        <w:ind w:left="1080"/>
        <w:rPr>
          <w:rFonts w:asciiTheme="majorHAnsi" w:hAnsiTheme="majorHAnsi"/>
          <w:szCs w:val="22"/>
        </w:rPr>
      </w:pPr>
      <w:r w:rsidRPr="00323B02">
        <w:rPr>
          <w:rFonts w:asciiTheme="majorHAnsi" w:hAnsiTheme="majorHAnsi"/>
          <w:szCs w:val="22"/>
        </w:rPr>
        <w:t xml:space="preserve">Review clause 15.15.3 and confirm whether breaches of Project Documents require a cure period or are immediate Events of Default; </w:t>
      </w:r>
    </w:p>
    <w:p w14:paraId="4593A177" w14:textId="36D63E7E" w:rsidR="00E32DAF" w:rsidRPr="00323B02" w:rsidRDefault="00E32DAF" w:rsidP="00F005B6">
      <w:pPr>
        <w:pStyle w:val="BBClause2"/>
        <w:numPr>
          <w:ilvl w:val="0"/>
          <w:numId w:val="13"/>
        </w:numPr>
        <w:ind w:left="1080"/>
        <w:rPr>
          <w:rFonts w:asciiTheme="majorHAnsi" w:hAnsiTheme="majorHAnsi"/>
          <w:szCs w:val="22"/>
        </w:rPr>
      </w:pPr>
      <w:r w:rsidRPr="00323B02">
        <w:rPr>
          <w:rFonts w:asciiTheme="majorHAnsi" w:hAnsiTheme="majorHAnsi"/>
          <w:szCs w:val="22"/>
        </w:rPr>
        <w:t>Consider whether to include the term “material” at clause 15.16.2</w:t>
      </w:r>
    </w:p>
    <w:p w14:paraId="57D31CBF" w14:textId="5BB4DD95" w:rsidR="006040F4" w:rsidRPr="00323B02" w:rsidRDefault="006040F4" w:rsidP="00F005B6">
      <w:pPr>
        <w:pStyle w:val="BBClause2"/>
        <w:numPr>
          <w:ilvl w:val="0"/>
          <w:numId w:val="13"/>
        </w:numPr>
        <w:ind w:left="1080"/>
        <w:rPr>
          <w:rFonts w:asciiTheme="majorHAnsi" w:hAnsiTheme="majorHAnsi"/>
          <w:szCs w:val="22"/>
        </w:rPr>
      </w:pPr>
      <w:r w:rsidRPr="00323B02">
        <w:rPr>
          <w:rFonts w:asciiTheme="majorHAnsi" w:hAnsiTheme="majorHAnsi"/>
          <w:szCs w:val="22"/>
        </w:rPr>
        <w:t xml:space="preserve">Insert the cure period for abandonment (clause 15.20); </w:t>
      </w:r>
    </w:p>
    <w:p w14:paraId="5902C18C" w14:textId="175F3B11" w:rsidR="006040F4" w:rsidRPr="00323B02" w:rsidRDefault="006040F4" w:rsidP="00F005B6">
      <w:pPr>
        <w:pStyle w:val="BBClause2"/>
        <w:numPr>
          <w:ilvl w:val="0"/>
          <w:numId w:val="13"/>
        </w:numPr>
        <w:ind w:left="1080"/>
        <w:rPr>
          <w:rFonts w:asciiTheme="majorHAnsi" w:hAnsiTheme="majorHAnsi"/>
          <w:szCs w:val="22"/>
        </w:rPr>
      </w:pPr>
      <w:r w:rsidRPr="00323B02">
        <w:rPr>
          <w:rFonts w:asciiTheme="majorHAnsi" w:hAnsiTheme="majorHAnsi"/>
          <w:szCs w:val="22"/>
        </w:rPr>
        <w:t xml:space="preserve">Review all Events of Default to ensure they are appropriate for </w:t>
      </w:r>
      <w:r w:rsidR="00E32DAF" w:rsidRPr="00323B02">
        <w:rPr>
          <w:rFonts w:asciiTheme="majorHAnsi" w:hAnsiTheme="majorHAnsi"/>
          <w:szCs w:val="22"/>
        </w:rPr>
        <w:t xml:space="preserve">the Project  </w:t>
      </w:r>
    </w:p>
    <w:p w14:paraId="7F6CBC98" w14:textId="37029131" w:rsidR="00E32DAF" w:rsidRPr="00323B02" w:rsidRDefault="006040F4" w:rsidP="00E32DAF">
      <w:pPr>
        <w:pStyle w:val="BBClause2"/>
        <w:numPr>
          <w:ilvl w:val="0"/>
          <w:numId w:val="13"/>
        </w:numPr>
        <w:ind w:left="1080"/>
        <w:rPr>
          <w:rFonts w:asciiTheme="majorHAnsi" w:hAnsiTheme="majorHAnsi"/>
          <w:szCs w:val="22"/>
        </w:rPr>
      </w:pPr>
      <w:r w:rsidRPr="00323B02">
        <w:rPr>
          <w:rFonts w:asciiTheme="majorHAnsi" w:hAnsiTheme="majorHAnsi"/>
          <w:szCs w:val="22"/>
        </w:rPr>
        <w:t>Ensure consistency with events of default in the Shared Revenue Agreement</w:t>
      </w:r>
      <w:r w:rsidR="00F005B6" w:rsidRPr="00323B02">
        <w:rPr>
          <w:rFonts w:asciiTheme="majorHAnsi" w:hAnsiTheme="majorHAnsi"/>
          <w:szCs w:val="22"/>
        </w:rPr>
        <w:t xml:space="preserve"> (or other agreement as relevant)</w:t>
      </w:r>
      <w:r w:rsidRPr="00323B02">
        <w:rPr>
          <w:rFonts w:asciiTheme="majorHAnsi" w:hAnsiTheme="majorHAnsi"/>
          <w:szCs w:val="22"/>
        </w:rPr>
        <w:t xml:space="preserve"> and other Transaction Documents.</w:t>
      </w:r>
    </w:p>
    <w:p w14:paraId="7AC71170" w14:textId="4D849492" w:rsidR="00E32DAF" w:rsidRPr="00323B02" w:rsidRDefault="00E32DAF" w:rsidP="00E32DAF">
      <w:pPr>
        <w:pStyle w:val="BBBodyTextIndent1"/>
      </w:pPr>
      <w:r w:rsidRPr="00323B02">
        <w:rPr>
          <w:b/>
          <w:bCs/>
        </w:rPr>
        <w:t>Guidance to CEG</w:t>
      </w:r>
      <w:r w:rsidRPr="00323B02">
        <w:t>: Events of Default define the circumstances in which you can call the loan and enforce your security. Some Events of Default (such as non-payment, misrepresentation, invalidity of Finance Documents) are fundamental and should not have cure periods. Others (such as breach of covenants) may be capable of remedy and should have a reasonable cure period. Consider carefully which Events of Default should apply to the Sponsor and Material Project Parties - these extend your protections beyond the Borrower but may be difficult to monitor. The cross-default provision (clause 15.5) ensures that if the Borrower defaults on other debt, you can take action. Set the de minimis threshold for cross-default at a level that captures material defaults while excluding trivial matters. The material adverse change Event of Default (clause 15.21) is a "catch-all" that gives you flexibility to act if unforeseen circumstances threaten your position. Clause 15.22 gives you four remedies - you can choose which to exercise depending on the circumstances. Seek legal advice before exercising remedies to ensure you comply with all procedural requirements.</w:t>
      </w:r>
    </w:p>
    <w:p w14:paraId="320C36B4" w14:textId="1240B557" w:rsidR="00E32DAF" w:rsidRPr="00323B02" w:rsidRDefault="00E32DAF" w:rsidP="00E32DAF">
      <w:pPr>
        <w:pStyle w:val="BBHeading1Lower"/>
        <w:numPr>
          <w:ilvl w:val="1"/>
          <w:numId w:val="8"/>
        </w:numPr>
        <w:rPr>
          <w:u w:val="single"/>
        </w:rPr>
      </w:pPr>
      <w:bookmarkStart w:id="29" w:name="_Toc225518699"/>
      <w:r w:rsidRPr="00323B02">
        <w:rPr>
          <w:u w:val="single"/>
        </w:rPr>
        <w:t>Clause 16: Set-Off</w:t>
      </w:r>
      <w:bookmarkEnd w:id="29"/>
    </w:p>
    <w:p w14:paraId="2808B0D1" w14:textId="2CCA51F6" w:rsidR="00E32DAF" w:rsidRPr="00323B02" w:rsidRDefault="00E32DAF" w:rsidP="00E32DAF">
      <w:pPr>
        <w:pStyle w:val="BBBodyTextIndent1"/>
      </w:pPr>
      <w:r w:rsidRPr="00323B02">
        <w:rPr>
          <w:b/>
          <w:bCs/>
        </w:rPr>
        <w:t xml:space="preserve">Purpose: </w:t>
      </w:r>
      <w:r w:rsidRPr="00323B02">
        <w:t>Set-off is the process where two parti</w:t>
      </w:r>
      <w:r w:rsidR="00F75449" w:rsidRPr="00323B02">
        <w:t>e</w:t>
      </w:r>
      <w:r w:rsidRPr="00323B02">
        <w:t>s with mutual, reciprocal debts cancel out or reduce their financial obligations to each other. This clause gives the Lender the right to set off any liability the Borrower owes to the Lender against any liability the Lender owes to the Borrower, after an Event of Default has occurred. This enables the Lender to reduce its exposure by netting liabilities.</w:t>
      </w:r>
    </w:p>
    <w:p w14:paraId="707410D3" w14:textId="1C8CF139" w:rsidR="00E32DAF" w:rsidRPr="00323B02" w:rsidRDefault="00E32DAF" w:rsidP="00E32DAF">
      <w:pPr>
        <w:pStyle w:val="BBBodyTextIndent1"/>
      </w:pPr>
      <w:r w:rsidRPr="00323B02">
        <w:lastRenderedPageBreak/>
        <w:t xml:space="preserve">The Lender may set off liabilities whether they are present or future, liquidated or unliquidated, and may convert currencies at market rates for set-off purposes. Exercise of set-off rights does not limit </w:t>
      </w:r>
      <w:r w:rsidR="006B5DD3" w:rsidRPr="00323B02">
        <w:t xml:space="preserve">the Lender’s </w:t>
      </w:r>
      <w:r w:rsidRPr="00323B02">
        <w:t>other rights or remedies.</w:t>
      </w:r>
    </w:p>
    <w:p w14:paraId="2FB652C2" w14:textId="131EE3E4" w:rsidR="00E32DAF" w:rsidRPr="00323B02" w:rsidRDefault="00E32DAF" w:rsidP="00E32DAF">
      <w:pPr>
        <w:pStyle w:val="BBBodyTextIndent1"/>
      </w:pPr>
      <w:r w:rsidRPr="00323B02">
        <w:t xml:space="preserve">The Lender </w:t>
      </w:r>
      <w:r w:rsidR="006B5DD3" w:rsidRPr="00323B02">
        <w:t>does not have</w:t>
      </w:r>
      <w:r w:rsidRPr="00323B02">
        <w:t xml:space="preserve"> to exercise set-off rights but must notify the Borrower promptly if it does.</w:t>
      </w:r>
    </w:p>
    <w:p w14:paraId="467BFCD4" w14:textId="77777777" w:rsidR="006B5DD3" w:rsidRPr="00323B02" w:rsidRDefault="006B5DD3" w:rsidP="006B5DD3">
      <w:pPr>
        <w:pStyle w:val="BBBodyTextIndent1"/>
      </w:pPr>
      <w:r w:rsidRPr="00323B02">
        <w:rPr>
          <w:b/>
          <w:bCs/>
        </w:rPr>
        <w:t>Guidance to CEG:</w:t>
      </w:r>
      <w:r w:rsidRPr="00323B02">
        <w:t xml:space="preserve"> Set-off is a useful remedy if the Borrower owes you money but you also owe money to the Borrower (for example, if you have received insurance proceeds as first loss payee that should be applied to rebuilding but the Borrower has defaulted). You can apply the amounts you owe against amounts owed to you, reducing your net exposure. Remember this right only arises after an Event of Default.</w:t>
      </w:r>
    </w:p>
    <w:p w14:paraId="346C7F87" w14:textId="2F31DA28" w:rsidR="006B5DD3" w:rsidRPr="00323B02" w:rsidRDefault="006B5DD3" w:rsidP="006B5DD3">
      <w:pPr>
        <w:pStyle w:val="BBHeading1Lower"/>
        <w:numPr>
          <w:ilvl w:val="1"/>
          <w:numId w:val="8"/>
        </w:numPr>
        <w:rPr>
          <w:u w:val="single"/>
        </w:rPr>
      </w:pPr>
      <w:bookmarkStart w:id="30" w:name="_Toc225518700"/>
      <w:r w:rsidRPr="00323B02">
        <w:rPr>
          <w:u w:val="single"/>
        </w:rPr>
        <w:t>Clause 17: Calculations and Certificates</w:t>
      </w:r>
      <w:bookmarkEnd w:id="30"/>
      <w:r w:rsidRPr="00323B02">
        <w:rPr>
          <w:u w:val="single"/>
        </w:rPr>
        <w:t xml:space="preserve"> </w:t>
      </w:r>
    </w:p>
    <w:p w14:paraId="033CE7CD" w14:textId="5AD12122" w:rsidR="00761086" w:rsidRPr="00323B02" w:rsidRDefault="00761086" w:rsidP="00761086">
      <w:pPr>
        <w:pStyle w:val="BBBodyTextIndent1"/>
        <w:rPr>
          <w:b/>
          <w:bCs/>
        </w:rPr>
      </w:pPr>
      <w:r w:rsidRPr="00323B02">
        <w:rPr>
          <w:b/>
          <w:bCs/>
        </w:rPr>
        <w:t xml:space="preserve">Purpose: </w:t>
      </w:r>
      <w:r w:rsidRPr="00323B02">
        <w:t xml:space="preserve">This clause explains how interest is </w:t>
      </w:r>
      <w:r w:rsidR="00F75449" w:rsidRPr="00323B02">
        <w:t>calculated</w:t>
      </w:r>
      <w:r w:rsidRPr="00323B02">
        <w:t xml:space="preserve"> and confirms that the Lender's records of what is owed are treated as reliable evidence</w:t>
      </w:r>
      <w:r w:rsidR="00F75449" w:rsidRPr="00323B02">
        <w:t>, so long as it is not obviously incorrect</w:t>
      </w:r>
      <w:r w:rsidRPr="00323B02">
        <w:t>.</w:t>
      </w:r>
    </w:p>
    <w:p w14:paraId="53D4D1A5" w14:textId="27F0552F" w:rsidR="00761086" w:rsidRPr="00323B02" w:rsidRDefault="00761086" w:rsidP="00761086">
      <w:pPr>
        <w:pStyle w:val="BBBodyTextIndent1"/>
      </w:pPr>
      <w:r w:rsidRPr="00323B02">
        <w:t xml:space="preserve">Interest </w:t>
      </w:r>
      <w:r w:rsidR="00F75449" w:rsidRPr="00323B02">
        <w:t>accrues</w:t>
      </w:r>
      <w:r w:rsidRPr="00323B02">
        <w:t xml:space="preserve"> daily on the loan. </w:t>
      </w:r>
      <w:r w:rsidR="00F75449" w:rsidRPr="00323B02">
        <w:t>As the Template assumes a sterling loan, i</w:t>
      </w:r>
      <w:r w:rsidRPr="00323B02">
        <w:t xml:space="preserve">t is calculated based on the actual number of days that have passed and a 365-day year. This is sometimes called the "ACT/365" </w:t>
      </w:r>
      <w:r w:rsidR="00F75449" w:rsidRPr="00323B02">
        <w:t>day count convention</w:t>
      </w:r>
      <w:r w:rsidRPr="00323B02">
        <w:t>.</w:t>
      </w:r>
      <w:r w:rsidR="00F75449" w:rsidRPr="00323B02">
        <w:t xml:space="preserve"> </w:t>
      </w:r>
    </w:p>
    <w:p w14:paraId="267B8175" w14:textId="77777777" w:rsidR="00761086" w:rsidRPr="00323B02" w:rsidRDefault="00761086" w:rsidP="00761086">
      <w:pPr>
        <w:pStyle w:val="BBBodyTextIndent1"/>
      </w:pPr>
      <w:r w:rsidRPr="00323B02">
        <w:t>For example, if £100,000 is borrowed at 5% interest for 30 days:</w:t>
      </w:r>
    </w:p>
    <w:p w14:paraId="6B222929" w14:textId="77777777" w:rsidR="00761086" w:rsidRPr="00323B02" w:rsidRDefault="00761086" w:rsidP="002A294A">
      <w:pPr>
        <w:pStyle w:val="BBBodyTextIndent1"/>
        <w:numPr>
          <w:ilvl w:val="0"/>
          <w:numId w:val="17"/>
        </w:numPr>
      </w:pPr>
      <w:r w:rsidRPr="00323B02">
        <w:t>Daily interest = £100,000 × 5% ÷ 365 = £13.70 per day</w:t>
      </w:r>
    </w:p>
    <w:p w14:paraId="18920AEC" w14:textId="77777777" w:rsidR="00761086" w:rsidRPr="00323B02" w:rsidRDefault="00761086" w:rsidP="002A294A">
      <w:pPr>
        <w:pStyle w:val="BBBodyTextIndent1"/>
        <w:numPr>
          <w:ilvl w:val="0"/>
          <w:numId w:val="16"/>
        </w:numPr>
      </w:pPr>
      <w:r w:rsidRPr="00323B02">
        <w:t>Total interest for 30 days = £13.70 × 30 = £411.00</w:t>
      </w:r>
    </w:p>
    <w:p w14:paraId="5A0B1130" w14:textId="227D750B" w:rsidR="00761086" w:rsidRPr="00323B02" w:rsidRDefault="00761086" w:rsidP="00761086">
      <w:pPr>
        <w:pStyle w:val="BBBodyTextIndent1"/>
        <w:rPr>
          <w:rFonts w:eastAsia="Times New Roman"/>
          <w:szCs w:val="22"/>
          <w:lang w:eastAsia="en-GB"/>
        </w:rPr>
      </w:pPr>
      <w:r w:rsidRPr="00323B02">
        <w:rPr>
          <w:rFonts w:eastAsia="Times New Roman"/>
          <w:szCs w:val="22"/>
          <w:lang w:eastAsia="en-GB"/>
        </w:rPr>
        <w:t xml:space="preserve">This approach is standard in </w:t>
      </w:r>
      <w:r w:rsidR="00F75449" w:rsidRPr="00323B02">
        <w:rPr>
          <w:rFonts w:eastAsia="Times New Roman"/>
          <w:szCs w:val="22"/>
          <w:lang w:eastAsia="en-GB"/>
        </w:rPr>
        <w:t xml:space="preserve">sterling denominated </w:t>
      </w:r>
      <w:r w:rsidRPr="00323B02">
        <w:rPr>
          <w:rFonts w:eastAsia="Times New Roman"/>
          <w:szCs w:val="22"/>
          <w:lang w:eastAsia="en-GB"/>
        </w:rPr>
        <w:t>loan agreements and helps both parties by providing certainty and reducing the potential for disagreements.</w:t>
      </w:r>
    </w:p>
    <w:p w14:paraId="33130A05" w14:textId="2D6CB61D" w:rsidR="00136AAC" w:rsidRPr="00323B02" w:rsidRDefault="00136AAC" w:rsidP="00136AAC">
      <w:pPr>
        <w:pStyle w:val="BBClause2"/>
        <w:numPr>
          <w:ilvl w:val="1"/>
          <w:numId w:val="8"/>
        </w:numPr>
        <w:rPr>
          <w:b/>
          <w:bCs/>
          <w:u w:val="single"/>
        </w:rPr>
      </w:pPr>
      <w:r w:rsidRPr="00323B02">
        <w:rPr>
          <w:b/>
          <w:bCs/>
          <w:u w:val="single"/>
        </w:rPr>
        <w:t xml:space="preserve">Clauses </w:t>
      </w:r>
      <w:r w:rsidR="007359E1" w:rsidRPr="00323B02">
        <w:rPr>
          <w:b/>
          <w:bCs/>
          <w:u w:val="single"/>
        </w:rPr>
        <w:t>18 - 24</w:t>
      </w:r>
      <w:r w:rsidRPr="00323B02">
        <w:rPr>
          <w:b/>
          <w:bCs/>
          <w:u w:val="single"/>
        </w:rPr>
        <w:t>: Standard Provisions</w:t>
      </w:r>
    </w:p>
    <w:p w14:paraId="7C7423C0" w14:textId="67D7DC8B" w:rsidR="00136AAC" w:rsidRPr="00323B02" w:rsidRDefault="00136AAC" w:rsidP="00136AAC">
      <w:pPr>
        <w:pStyle w:val="BBClause2"/>
        <w:ind w:left="720"/>
      </w:pPr>
      <w:bookmarkStart w:id="31" w:name="_Hlk221786979"/>
      <w:bookmarkStart w:id="32" w:name="_Hlk221712665"/>
      <w:r w:rsidRPr="00323B02">
        <w:rPr>
          <w:b/>
          <w:bCs/>
        </w:rPr>
        <w:t xml:space="preserve">Purpose: </w:t>
      </w:r>
      <w:r w:rsidRPr="00323B02">
        <w:t xml:space="preserve">Clauses </w:t>
      </w:r>
      <w:r w:rsidR="007359E1" w:rsidRPr="00323B02">
        <w:t>18</w:t>
      </w:r>
      <w:r w:rsidRPr="00323B02">
        <w:t xml:space="preserve"> – </w:t>
      </w:r>
      <w:r w:rsidR="007359E1" w:rsidRPr="00323B02">
        <w:t>24</w:t>
      </w:r>
      <w:r w:rsidRPr="00323B02">
        <w:t xml:space="preserve"> contain standard 'boilerplate' provisions that are common to most commercial contracts and govern important procedural and administrative matters such as how the Agreement can be varied, how notices must be served, and which governing law applies to the contract.</w:t>
      </w:r>
    </w:p>
    <w:p w14:paraId="0E8C76F6" w14:textId="77777777" w:rsidR="00136AAC" w:rsidRPr="00323B02" w:rsidRDefault="00136AAC" w:rsidP="00136AAC">
      <w:pPr>
        <w:pStyle w:val="BBClause3"/>
        <w:ind w:firstLine="720"/>
      </w:pPr>
      <w:r w:rsidRPr="00323B02">
        <w:rPr>
          <w:b/>
          <w:bCs/>
        </w:rPr>
        <w:t>Action Required:</w:t>
      </w:r>
    </w:p>
    <w:bookmarkEnd w:id="31"/>
    <w:p w14:paraId="3DBC78BC" w14:textId="7C1ECAAB" w:rsidR="00136AAC" w:rsidRPr="00323B02" w:rsidRDefault="00136AAC" w:rsidP="00136AAC">
      <w:pPr>
        <w:pStyle w:val="BBClause3"/>
        <w:numPr>
          <w:ilvl w:val="2"/>
          <w:numId w:val="6"/>
        </w:numPr>
        <w:tabs>
          <w:tab w:val="clear" w:pos="1622"/>
        </w:tabs>
        <w:spacing w:after="160" w:line="259" w:lineRule="auto"/>
        <w:ind w:left="1080" w:hanging="360"/>
      </w:pPr>
      <w:r w:rsidRPr="00323B02">
        <w:t>Complete the addresses, email addresses and contacts for service of Notices for the Parties (</w:t>
      </w:r>
      <w:r w:rsidRPr="00323B02">
        <w:rPr>
          <w:i/>
          <w:iCs/>
        </w:rPr>
        <w:t xml:space="preserve">clause </w:t>
      </w:r>
      <w:r w:rsidR="007359E1" w:rsidRPr="00323B02">
        <w:rPr>
          <w:i/>
          <w:iCs/>
        </w:rPr>
        <w:t>21</w:t>
      </w:r>
      <w:r w:rsidRPr="00323B02">
        <w:rPr>
          <w:i/>
          <w:iCs/>
        </w:rPr>
        <w:t xml:space="preserve"> - Notices</w:t>
      </w:r>
      <w:r w:rsidRPr="00323B02">
        <w:t>)</w:t>
      </w:r>
    </w:p>
    <w:p w14:paraId="02709513" w14:textId="097C2EDF" w:rsidR="00136AAC" w:rsidRPr="00323B02" w:rsidRDefault="00136AAC" w:rsidP="00136AAC">
      <w:pPr>
        <w:pStyle w:val="BBClause3"/>
        <w:numPr>
          <w:ilvl w:val="2"/>
          <w:numId w:val="6"/>
        </w:numPr>
        <w:tabs>
          <w:tab w:val="clear" w:pos="1622"/>
        </w:tabs>
        <w:spacing w:after="160" w:line="259" w:lineRule="auto"/>
        <w:ind w:left="1080" w:hanging="360"/>
      </w:pPr>
      <w:r w:rsidRPr="00323B02">
        <w:t>Confirm English law and jurisdiction are appropriate and verify that this aligns with the underlying contract (</w:t>
      </w:r>
      <w:r w:rsidRPr="00323B02">
        <w:rPr>
          <w:i/>
          <w:iCs/>
        </w:rPr>
        <w:t xml:space="preserve">clause </w:t>
      </w:r>
      <w:r w:rsidR="007359E1" w:rsidRPr="00323B02">
        <w:rPr>
          <w:i/>
          <w:iCs/>
        </w:rPr>
        <w:t>24</w:t>
      </w:r>
      <w:r w:rsidRPr="00323B02">
        <w:rPr>
          <w:i/>
          <w:iCs/>
        </w:rPr>
        <w:t xml:space="preserve"> - Governing Law and Jurisdiction</w:t>
      </w:r>
      <w:r w:rsidRPr="00323B02">
        <w:t xml:space="preserve">) </w:t>
      </w:r>
    </w:p>
    <w:bookmarkEnd w:id="32"/>
    <w:p w14:paraId="5A56A977" w14:textId="77777777" w:rsidR="007359E1" w:rsidRPr="00323B02" w:rsidRDefault="007359E1" w:rsidP="007359E1">
      <w:pPr>
        <w:pStyle w:val="BBClause2"/>
        <w:ind w:left="720"/>
      </w:pPr>
      <w:r w:rsidRPr="00323B02">
        <w:rPr>
          <w:b/>
          <w:bCs/>
        </w:rPr>
        <w:t xml:space="preserve">Clause 18 – Amendments, Waivers, Consents and Remedies: </w:t>
      </w:r>
      <w:r w:rsidRPr="00323B02">
        <w:t xml:space="preserve">This clause provides that amendments or waivers must be in writing and signed by the parties. This prevents informal or accidental variations and ensures all amendments are properly documented and authorised. </w:t>
      </w:r>
    </w:p>
    <w:p w14:paraId="2277E2B9" w14:textId="75B970B6" w:rsidR="007359E1" w:rsidRPr="00323B02" w:rsidRDefault="007359E1" w:rsidP="007359E1">
      <w:pPr>
        <w:pStyle w:val="BBClause2"/>
        <w:ind w:left="720"/>
      </w:pPr>
      <w:r w:rsidRPr="00323B02">
        <w:t>These provisions state that failure to exercise rights does not constitute waiver, and that waivers of specific breaches do not waive subsequent breaches. This preserves the parties' rights even if they choose not to enforce them immediately or in relation to specific breaches.</w:t>
      </w:r>
    </w:p>
    <w:p w14:paraId="66798D7B" w14:textId="43012CC0" w:rsidR="007359E1" w:rsidRPr="00323B02" w:rsidRDefault="007359E1" w:rsidP="007359E1">
      <w:pPr>
        <w:pStyle w:val="BBClause2"/>
        <w:ind w:left="720"/>
      </w:pPr>
      <w:r w:rsidRPr="00323B02">
        <w:lastRenderedPageBreak/>
        <w:t>This clause also confirms that rights and remedies are cumulative and not exclusive of other legal rights. This ensures a party can pursue multiple remedies simultaneously and is not forced to choose between contractual and legal rights</w:t>
      </w:r>
    </w:p>
    <w:p w14:paraId="70CB4786" w14:textId="49E73FC3" w:rsidR="007359E1" w:rsidRPr="00323B02" w:rsidRDefault="007359E1" w:rsidP="00F912FD">
      <w:pPr>
        <w:pStyle w:val="BBClause3"/>
        <w:ind w:left="720"/>
      </w:pPr>
      <w:r w:rsidRPr="00323B02">
        <w:rPr>
          <w:b/>
          <w:bCs/>
        </w:rPr>
        <w:t>Clause 19 - Severance</w:t>
      </w:r>
      <w:r w:rsidRPr="00323B02">
        <w:t xml:space="preserve">: These provisions state that invalid or unenforceable provisions are severed without affecting the rest of the Agreement. Severance provisions protect the </w:t>
      </w:r>
      <w:r w:rsidR="006F2045">
        <w:t>Agreement</w:t>
      </w:r>
      <w:r w:rsidRPr="00323B02">
        <w:t xml:space="preserve"> from being entirely invalidated if one provision is found unenforceable.</w:t>
      </w:r>
    </w:p>
    <w:p w14:paraId="11928A49" w14:textId="0C8E1693" w:rsidR="00F912FD" w:rsidRPr="00323B02" w:rsidRDefault="00F912FD" w:rsidP="00F912FD">
      <w:pPr>
        <w:pStyle w:val="BBClause2"/>
        <w:ind w:left="720"/>
      </w:pPr>
      <w:r w:rsidRPr="00323B02">
        <w:rPr>
          <w:b/>
          <w:bCs/>
        </w:rPr>
        <w:t xml:space="preserve">Clause 20 – Assignment: </w:t>
      </w:r>
      <w:r w:rsidRPr="00323B02">
        <w:t>This clause sets out the rights of each party to assign (transfer) their rights or obligations under the Agreement. It gives the Lender broad flexibility to assign its rights whilst preventing the Borrower from assigning without consent.</w:t>
      </w:r>
    </w:p>
    <w:p w14:paraId="5CA1E264" w14:textId="63F0282A" w:rsidR="00F912FD" w:rsidRPr="00323B02" w:rsidRDefault="00F912FD" w:rsidP="00F912FD">
      <w:pPr>
        <w:pStyle w:val="BBClause3"/>
        <w:ind w:left="720"/>
      </w:pPr>
      <w:r w:rsidRPr="00323B02">
        <w:rPr>
          <w:b/>
          <w:bCs/>
        </w:rPr>
        <w:t>Clause 21 - Notices</w:t>
      </w:r>
      <w:r w:rsidRPr="00323B02">
        <w:t>: These provisions establish comprehensive notice requirements, including methods of service (hand delivery, first class recorded delivery, or email), deemed receipt times, and party contact details. Proper notice provisions are critical for enforcing rights (particularly making demands under the guarantee) and avoiding disputes over whether notice was validly given.</w:t>
      </w:r>
    </w:p>
    <w:p w14:paraId="18BE6E80" w14:textId="090E6408" w:rsidR="00F912FD" w:rsidRPr="00323B02" w:rsidRDefault="00F912FD" w:rsidP="00F912FD">
      <w:pPr>
        <w:pStyle w:val="BBClause3"/>
        <w:ind w:left="720"/>
      </w:pPr>
      <w:r w:rsidRPr="00323B02">
        <w:rPr>
          <w:b/>
          <w:bCs/>
        </w:rPr>
        <w:t>Clause 22 - Counterparts</w:t>
      </w:r>
      <w:r w:rsidRPr="00323B02">
        <w:t>: These provisions allow execution in counterparts, with effectiveness conditional on all Parties delivering executed counterparts. This facilitates execution when Parties cannot meet in person.</w:t>
      </w:r>
    </w:p>
    <w:p w14:paraId="715BD512" w14:textId="60CD4D19" w:rsidR="00F912FD" w:rsidRPr="00323B02" w:rsidRDefault="00F912FD" w:rsidP="00F912FD">
      <w:pPr>
        <w:pStyle w:val="BBClause3"/>
        <w:ind w:left="720"/>
      </w:pPr>
      <w:r w:rsidRPr="00323B02">
        <w:rPr>
          <w:b/>
          <w:bCs/>
        </w:rPr>
        <w:t>Clause 23 - Third Party Rights</w:t>
      </w:r>
      <w:r w:rsidRPr="00323B02">
        <w:t xml:space="preserve">: This clause excludes third party enforcement rights under the Contracts (Rights of Third Parties) Act 1999, except as expressly provided. This prevents unintended third parties from enforcing the </w:t>
      </w:r>
      <w:r w:rsidR="006F2045">
        <w:t>Agreement</w:t>
      </w:r>
      <w:r w:rsidRPr="00323B02">
        <w:t>, giving the Parties control over who can bring claims.</w:t>
      </w:r>
    </w:p>
    <w:p w14:paraId="7525781B" w14:textId="656BEA3E" w:rsidR="00136AAC" w:rsidRPr="00323B02" w:rsidRDefault="00136AAC" w:rsidP="00136AAC">
      <w:pPr>
        <w:pStyle w:val="BBClause3"/>
        <w:ind w:left="720"/>
      </w:pPr>
      <w:r w:rsidRPr="00323B02">
        <w:rPr>
          <w:b/>
          <w:bCs/>
        </w:rPr>
        <w:t xml:space="preserve">Clause </w:t>
      </w:r>
      <w:r w:rsidR="00F912FD" w:rsidRPr="00323B02">
        <w:rPr>
          <w:b/>
          <w:bCs/>
        </w:rPr>
        <w:t>24</w:t>
      </w:r>
      <w:r w:rsidRPr="00323B02">
        <w:rPr>
          <w:b/>
          <w:bCs/>
        </w:rPr>
        <w:t xml:space="preserve"> - Governing Law and Jurisdiction</w:t>
      </w:r>
      <w:r w:rsidRPr="00323B02">
        <w:t>: These provisions establish the law of England and Wales as the governing law. This provides certainty on which law applies, preventing costly jurisdictional disputes.</w:t>
      </w:r>
    </w:p>
    <w:p w14:paraId="22EE61F0" w14:textId="75EB897B" w:rsidR="00F912FD" w:rsidRPr="00323B02" w:rsidRDefault="00F912FD" w:rsidP="00F912FD">
      <w:pPr>
        <w:pStyle w:val="BBClause2"/>
        <w:numPr>
          <w:ilvl w:val="1"/>
          <w:numId w:val="8"/>
        </w:numPr>
        <w:rPr>
          <w:b/>
          <w:bCs/>
          <w:u w:val="single"/>
        </w:rPr>
      </w:pPr>
      <w:r w:rsidRPr="00323B02">
        <w:rPr>
          <w:b/>
          <w:bCs/>
          <w:u w:val="single"/>
        </w:rPr>
        <w:t xml:space="preserve">Schedule 1 </w:t>
      </w:r>
    </w:p>
    <w:p w14:paraId="597AB236" w14:textId="491E6D07" w:rsidR="00DA5D26" w:rsidRPr="00323B02" w:rsidRDefault="00F912FD" w:rsidP="00DA5D26">
      <w:pPr>
        <w:pStyle w:val="BBClause2"/>
        <w:ind w:left="720"/>
      </w:pPr>
      <w:r w:rsidRPr="00323B02">
        <w:rPr>
          <w:b/>
          <w:bCs/>
        </w:rPr>
        <w:t xml:space="preserve">Purpose: </w:t>
      </w:r>
      <w:r w:rsidR="00DA5D26" w:rsidRPr="00323B02">
        <w:t>Schedule 1 sets out an initial "gateway" list of documents and evidence that must be delivered to the Lender and approved by the Lender before the Borrower is permitted to submit any drawdown request. This Schedule works in conjunction with Clause 4 (Conditions Precedent) to create a two-tier system of conditions ( initial conditions precedent and continuing condition precedent) that protect the Lender.</w:t>
      </w:r>
    </w:p>
    <w:p w14:paraId="312A29F7" w14:textId="265BD89F" w:rsidR="00DA5D26" w:rsidRPr="00323B02" w:rsidRDefault="00DA5D26" w:rsidP="00DA5D26">
      <w:pPr>
        <w:pStyle w:val="BBClause2"/>
        <w:ind w:left="720"/>
      </w:pPr>
      <w:r w:rsidRPr="00323B02">
        <w:rPr>
          <w:b/>
          <w:bCs/>
        </w:rPr>
        <w:t xml:space="preserve">Action Required: </w:t>
      </w:r>
    </w:p>
    <w:p w14:paraId="461475C1" w14:textId="79BFAB49" w:rsidR="00DA5D26" w:rsidRPr="00323B02" w:rsidRDefault="00DA5D26" w:rsidP="00DA5D26">
      <w:pPr>
        <w:pStyle w:val="BBClause2"/>
        <w:numPr>
          <w:ilvl w:val="0"/>
          <w:numId w:val="13"/>
        </w:numPr>
        <w:ind w:left="1080"/>
        <w:rPr>
          <w:rFonts w:asciiTheme="majorHAnsi" w:hAnsiTheme="majorHAnsi"/>
          <w:szCs w:val="22"/>
        </w:rPr>
      </w:pPr>
      <w:r w:rsidRPr="00323B02">
        <w:rPr>
          <w:rFonts w:asciiTheme="majorHAnsi" w:hAnsiTheme="majorHAnsi"/>
          <w:szCs w:val="22"/>
        </w:rPr>
        <w:t xml:space="preserve">Tailor </w:t>
      </w:r>
      <w:r w:rsidR="00F74F6C" w:rsidRPr="00323B02">
        <w:rPr>
          <w:rFonts w:asciiTheme="majorHAnsi" w:hAnsiTheme="majorHAnsi"/>
          <w:szCs w:val="22"/>
        </w:rPr>
        <w:t>Schedule 1</w:t>
      </w:r>
      <w:r w:rsidRPr="00323B02">
        <w:rPr>
          <w:rFonts w:asciiTheme="majorHAnsi" w:hAnsiTheme="majorHAnsi"/>
          <w:szCs w:val="22"/>
        </w:rPr>
        <w:t xml:space="preserve"> to your specific project - not all </w:t>
      </w:r>
      <w:r w:rsidR="00F74F6C" w:rsidRPr="00323B02">
        <w:rPr>
          <w:rFonts w:asciiTheme="majorHAnsi" w:hAnsiTheme="majorHAnsi"/>
          <w:szCs w:val="22"/>
        </w:rPr>
        <w:t>conditions</w:t>
      </w:r>
      <w:r w:rsidRPr="00323B02">
        <w:rPr>
          <w:rFonts w:asciiTheme="majorHAnsi" w:hAnsiTheme="majorHAnsi"/>
          <w:szCs w:val="22"/>
        </w:rPr>
        <w:t xml:space="preserve"> will be relevant for all projects, and you may need additional</w:t>
      </w:r>
      <w:r w:rsidR="00F74F6C" w:rsidRPr="00323B02">
        <w:rPr>
          <w:rFonts w:asciiTheme="majorHAnsi" w:hAnsiTheme="majorHAnsi"/>
          <w:szCs w:val="22"/>
        </w:rPr>
        <w:t xml:space="preserve"> conditions</w:t>
      </w:r>
    </w:p>
    <w:p w14:paraId="6D6BB5FD" w14:textId="116C2D67" w:rsidR="00FA0914" w:rsidRPr="00323B02" w:rsidRDefault="00FA0914" w:rsidP="00FA0914">
      <w:pPr>
        <w:pStyle w:val="BBClause2"/>
        <w:numPr>
          <w:ilvl w:val="0"/>
          <w:numId w:val="13"/>
        </w:numPr>
        <w:ind w:left="1080"/>
        <w:rPr>
          <w:rFonts w:asciiTheme="majorHAnsi" w:hAnsiTheme="majorHAnsi"/>
          <w:szCs w:val="22"/>
        </w:rPr>
      </w:pPr>
      <w:r w:rsidRPr="00323B02">
        <w:rPr>
          <w:rFonts w:asciiTheme="majorHAnsi" w:hAnsiTheme="majorHAnsi"/>
          <w:szCs w:val="22"/>
        </w:rPr>
        <w:t>Decide whether to require shareholder resolutions from the Sponsor in addition to the Obligors (paragraph 1.5)</w:t>
      </w:r>
    </w:p>
    <w:p w14:paraId="58319289" w14:textId="5B6BC73E" w:rsidR="00FA0914" w:rsidRPr="00323B02" w:rsidRDefault="00FA0914" w:rsidP="00FA0914">
      <w:pPr>
        <w:pStyle w:val="BBClause2"/>
        <w:numPr>
          <w:ilvl w:val="0"/>
          <w:numId w:val="13"/>
        </w:numPr>
        <w:ind w:left="1080"/>
        <w:rPr>
          <w:rFonts w:asciiTheme="majorHAnsi" w:hAnsiTheme="majorHAnsi"/>
          <w:szCs w:val="22"/>
        </w:rPr>
      </w:pPr>
      <w:r w:rsidRPr="00323B02">
        <w:rPr>
          <w:rFonts w:asciiTheme="majorHAnsi" w:hAnsiTheme="majorHAnsi"/>
          <w:szCs w:val="22"/>
        </w:rPr>
        <w:t>Decide whether to require a certificate from the Sponsor in addition to each Obligor (paragraph 1.7)</w:t>
      </w:r>
    </w:p>
    <w:p w14:paraId="00CF73B4" w14:textId="42C0ADA7" w:rsidR="00FA0914" w:rsidRPr="00323B02" w:rsidRDefault="00FA0914" w:rsidP="00FA0914">
      <w:pPr>
        <w:pStyle w:val="BBClause2"/>
        <w:numPr>
          <w:ilvl w:val="0"/>
          <w:numId w:val="13"/>
        </w:numPr>
        <w:ind w:left="1080"/>
        <w:rPr>
          <w:rFonts w:asciiTheme="majorHAnsi" w:hAnsiTheme="majorHAnsi"/>
          <w:szCs w:val="22"/>
        </w:rPr>
      </w:pPr>
      <w:r w:rsidRPr="00323B02">
        <w:rPr>
          <w:rFonts w:asciiTheme="majorHAnsi" w:hAnsiTheme="majorHAnsi"/>
          <w:szCs w:val="22"/>
        </w:rPr>
        <w:t>Decide whether to include the requirement for notices under Security Documents (paragraph 2.2 - entire paragraph is optional)</w:t>
      </w:r>
    </w:p>
    <w:p w14:paraId="31968361" w14:textId="5ACBE03E" w:rsidR="00FA0914" w:rsidRPr="00323B02" w:rsidRDefault="00FA0914" w:rsidP="00FA0914">
      <w:pPr>
        <w:pStyle w:val="BBClause2"/>
        <w:numPr>
          <w:ilvl w:val="0"/>
          <w:numId w:val="13"/>
        </w:numPr>
        <w:ind w:left="1080"/>
        <w:rPr>
          <w:rFonts w:asciiTheme="majorHAnsi" w:hAnsiTheme="majorHAnsi"/>
          <w:szCs w:val="22"/>
        </w:rPr>
      </w:pPr>
      <w:r w:rsidRPr="00323B02">
        <w:rPr>
          <w:rFonts w:asciiTheme="majorHAnsi" w:hAnsiTheme="majorHAnsi"/>
          <w:szCs w:val="22"/>
        </w:rPr>
        <w:t>Insert the specific planning permission details required (paragraph 3.3(a))</w:t>
      </w:r>
    </w:p>
    <w:p w14:paraId="763AE28C" w14:textId="59053BBC" w:rsidR="00FA0914" w:rsidRPr="00323B02" w:rsidRDefault="00FA0914" w:rsidP="00FA0914">
      <w:pPr>
        <w:pStyle w:val="BBClause2"/>
        <w:numPr>
          <w:ilvl w:val="0"/>
          <w:numId w:val="13"/>
        </w:numPr>
        <w:ind w:left="1080"/>
        <w:rPr>
          <w:rFonts w:asciiTheme="majorHAnsi" w:hAnsiTheme="majorHAnsi"/>
          <w:szCs w:val="22"/>
        </w:rPr>
      </w:pPr>
      <w:r w:rsidRPr="00323B02">
        <w:rPr>
          <w:rFonts w:asciiTheme="majorHAnsi" w:hAnsiTheme="majorHAnsi"/>
          <w:szCs w:val="22"/>
        </w:rPr>
        <w:lastRenderedPageBreak/>
        <w:t xml:space="preserve">Insert a complete list of all principal governmental approvals required for construction and operation of the Project (paragraph 3.3(b)) </w:t>
      </w:r>
    </w:p>
    <w:p w14:paraId="4C12170C" w14:textId="2F9A99A6" w:rsidR="00FA0914" w:rsidRPr="00323B02" w:rsidRDefault="00FA0914" w:rsidP="00FA0914">
      <w:pPr>
        <w:pStyle w:val="BBClause2"/>
        <w:numPr>
          <w:ilvl w:val="0"/>
          <w:numId w:val="13"/>
        </w:numPr>
        <w:ind w:left="1080"/>
        <w:rPr>
          <w:rFonts w:asciiTheme="majorHAnsi" w:hAnsiTheme="majorHAnsi"/>
          <w:szCs w:val="22"/>
        </w:rPr>
      </w:pPr>
      <w:r w:rsidRPr="00323B02">
        <w:rPr>
          <w:rFonts w:asciiTheme="majorHAnsi" w:hAnsiTheme="majorHAnsi"/>
          <w:szCs w:val="22"/>
        </w:rPr>
        <w:t xml:space="preserve">Ensure the Necessary Consents listed in paragraph 3.3 match those defined in Clause 1 </w:t>
      </w:r>
    </w:p>
    <w:p w14:paraId="6D0B0518" w14:textId="219A1815" w:rsidR="00FA0914" w:rsidRPr="00323B02" w:rsidRDefault="00FA0914" w:rsidP="00FA0914">
      <w:pPr>
        <w:pStyle w:val="BBClause2"/>
        <w:numPr>
          <w:ilvl w:val="0"/>
          <w:numId w:val="13"/>
        </w:numPr>
        <w:ind w:left="1080"/>
        <w:rPr>
          <w:rFonts w:asciiTheme="majorHAnsi" w:hAnsiTheme="majorHAnsi"/>
          <w:szCs w:val="22"/>
        </w:rPr>
      </w:pPr>
      <w:r w:rsidRPr="00323B02">
        <w:rPr>
          <w:rFonts w:asciiTheme="majorHAnsi" w:hAnsiTheme="majorHAnsi"/>
          <w:szCs w:val="22"/>
        </w:rPr>
        <w:t xml:space="preserve">Insert the date of the most recent unaudited financial statements required (paragraph 4.2) </w:t>
      </w:r>
    </w:p>
    <w:p w14:paraId="5ACF4C79" w14:textId="500D198D" w:rsidR="00FA0914" w:rsidRPr="00323B02" w:rsidRDefault="00FA0914" w:rsidP="00FA0914">
      <w:pPr>
        <w:pStyle w:val="BBClause2"/>
        <w:numPr>
          <w:ilvl w:val="0"/>
          <w:numId w:val="13"/>
        </w:numPr>
        <w:ind w:left="1080"/>
        <w:rPr>
          <w:rFonts w:asciiTheme="majorHAnsi" w:hAnsiTheme="majorHAnsi"/>
          <w:szCs w:val="22"/>
        </w:rPr>
      </w:pPr>
      <w:r w:rsidRPr="00323B02">
        <w:rPr>
          <w:rFonts w:asciiTheme="majorHAnsi" w:hAnsiTheme="majorHAnsi"/>
          <w:szCs w:val="22"/>
        </w:rPr>
        <w:t xml:space="preserve">Decide whether Material Project Party financial statements need to be audited (paragraph 4.3) </w:t>
      </w:r>
    </w:p>
    <w:p w14:paraId="5DB5A761" w14:textId="1C9660D2" w:rsidR="00FA0914" w:rsidRPr="00323B02" w:rsidRDefault="00FA0914" w:rsidP="00FA0914">
      <w:pPr>
        <w:pStyle w:val="BBClause2"/>
        <w:numPr>
          <w:ilvl w:val="0"/>
          <w:numId w:val="13"/>
        </w:numPr>
        <w:ind w:left="1080"/>
        <w:rPr>
          <w:rFonts w:asciiTheme="majorHAnsi" w:hAnsiTheme="majorHAnsi"/>
          <w:szCs w:val="22"/>
        </w:rPr>
      </w:pPr>
      <w:r w:rsidRPr="00323B02">
        <w:rPr>
          <w:rFonts w:asciiTheme="majorHAnsi" w:hAnsiTheme="majorHAnsi"/>
          <w:szCs w:val="22"/>
        </w:rPr>
        <w:t>Decide whether to require due diligence reports (paragraph 5.2 - entire paragraph is optional)</w:t>
      </w:r>
    </w:p>
    <w:p w14:paraId="1CE323E2" w14:textId="4A4DAC7B" w:rsidR="00FA0914" w:rsidRPr="00323B02" w:rsidRDefault="00FA0914" w:rsidP="00FA0914">
      <w:pPr>
        <w:pStyle w:val="BBClause2"/>
        <w:numPr>
          <w:ilvl w:val="0"/>
          <w:numId w:val="13"/>
        </w:numPr>
        <w:ind w:left="1080"/>
        <w:rPr>
          <w:rFonts w:asciiTheme="majorHAnsi" w:hAnsiTheme="majorHAnsi"/>
          <w:szCs w:val="22"/>
        </w:rPr>
      </w:pPr>
      <w:r w:rsidRPr="00323B02">
        <w:rPr>
          <w:rFonts w:asciiTheme="majorHAnsi" w:hAnsiTheme="majorHAnsi"/>
          <w:szCs w:val="22"/>
        </w:rPr>
        <w:t>Insert the schedule number that lists the required Insurance Policies (paragraph 5.3 - appears twice in that paragraph)</w:t>
      </w:r>
    </w:p>
    <w:p w14:paraId="50E4614E" w14:textId="69F5D9C1" w:rsidR="00FA0914" w:rsidRPr="00323B02" w:rsidRDefault="00FA0914" w:rsidP="00FA0914">
      <w:pPr>
        <w:pStyle w:val="BBClause2"/>
        <w:numPr>
          <w:ilvl w:val="0"/>
          <w:numId w:val="13"/>
        </w:numPr>
        <w:ind w:left="1080"/>
        <w:rPr>
          <w:rFonts w:asciiTheme="majorHAnsi" w:hAnsiTheme="majorHAnsi"/>
          <w:szCs w:val="22"/>
        </w:rPr>
      </w:pPr>
      <w:r w:rsidRPr="00323B02">
        <w:rPr>
          <w:rFonts w:asciiTheme="majorHAnsi" w:hAnsiTheme="majorHAnsi"/>
          <w:szCs w:val="22"/>
        </w:rPr>
        <w:t>Decide whether the Lender or a Security Trustee should be noted as first loss payee on insurance policies (paragraph 5.3(a))</w:t>
      </w:r>
    </w:p>
    <w:p w14:paraId="78F19678" w14:textId="77777777" w:rsidR="00030883" w:rsidRPr="00323B02" w:rsidRDefault="00030883" w:rsidP="00030883">
      <w:pPr>
        <w:pStyle w:val="BBClause2"/>
        <w:numPr>
          <w:ilvl w:val="1"/>
          <w:numId w:val="8"/>
        </w:numPr>
        <w:rPr>
          <w:b/>
          <w:bCs/>
          <w:u w:val="single"/>
        </w:rPr>
      </w:pPr>
      <w:r w:rsidRPr="00323B02">
        <w:rPr>
          <w:b/>
          <w:bCs/>
          <w:u w:val="single"/>
        </w:rPr>
        <w:t>Schedule 2: Form of Drawdown Request</w:t>
      </w:r>
    </w:p>
    <w:p w14:paraId="27674D1A" w14:textId="2451F665" w:rsidR="00030883" w:rsidRPr="00323B02" w:rsidRDefault="00030883" w:rsidP="00030883">
      <w:pPr>
        <w:pStyle w:val="ListParagraph"/>
        <w:rPr>
          <w:rFonts w:ascii="Times New Roman" w:eastAsia="Times New Roman" w:hAnsi="Times New Roman"/>
          <w:sz w:val="24"/>
          <w:szCs w:val="24"/>
          <w:lang w:eastAsia="en-GB"/>
        </w:rPr>
      </w:pPr>
      <w:r w:rsidRPr="00323B02">
        <w:rPr>
          <w:rFonts w:ascii="Times New Roman" w:eastAsia="Times New Roman" w:hAnsi="Times New Roman"/>
          <w:b/>
          <w:bCs/>
          <w:sz w:val="24"/>
          <w:szCs w:val="24"/>
          <w:lang w:eastAsia="en-GB"/>
        </w:rPr>
        <w:t xml:space="preserve">Purpose: </w:t>
      </w:r>
      <w:r w:rsidRPr="00323B02">
        <w:rPr>
          <w:rFonts w:ascii="Times New Roman" w:eastAsia="Times New Roman" w:hAnsi="Times New Roman"/>
          <w:sz w:val="24"/>
          <w:szCs w:val="24"/>
          <w:lang w:eastAsia="en-GB"/>
        </w:rPr>
        <w:t>This schedule provides a standard form for the Borrower to use when requesting a drawdown of the loan.</w:t>
      </w:r>
    </w:p>
    <w:p w14:paraId="66B05CDD" w14:textId="52271454" w:rsidR="00030883" w:rsidRPr="00323B02" w:rsidRDefault="00030883" w:rsidP="00030883">
      <w:pPr>
        <w:pStyle w:val="ListParagraph"/>
        <w:rPr>
          <w:rFonts w:ascii="Times New Roman" w:eastAsia="Times New Roman" w:hAnsi="Times New Roman"/>
          <w:sz w:val="24"/>
          <w:szCs w:val="24"/>
          <w:lang w:eastAsia="en-GB"/>
        </w:rPr>
      </w:pPr>
    </w:p>
    <w:p w14:paraId="7F512567" w14:textId="06722A96" w:rsidR="00030883" w:rsidRPr="00323B02" w:rsidRDefault="00030883" w:rsidP="00030883">
      <w:pPr>
        <w:pStyle w:val="ListParagraph"/>
        <w:rPr>
          <w:rFonts w:ascii="Times New Roman" w:eastAsia="Times New Roman" w:hAnsi="Times New Roman"/>
          <w:sz w:val="24"/>
          <w:szCs w:val="24"/>
          <w:lang w:eastAsia="en-GB"/>
        </w:rPr>
      </w:pPr>
      <w:r w:rsidRPr="00323B02">
        <w:rPr>
          <w:rFonts w:ascii="Times New Roman" w:eastAsia="Times New Roman" w:hAnsi="Times New Roman"/>
          <w:b/>
          <w:bCs/>
          <w:sz w:val="24"/>
          <w:szCs w:val="24"/>
          <w:lang w:eastAsia="en-GB"/>
        </w:rPr>
        <w:t xml:space="preserve">Action Required: </w:t>
      </w:r>
    </w:p>
    <w:p w14:paraId="1C5082FE" w14:textId="7D0B5E4F" w:rsidR="00030883" w:rsidRPr="00323B02" w:rsidRDefault="00030883" w:rsidP="00030883">
      <w:pPr>
        <w:pStyle w:val="BBClause2"/>
        <w:numPr>
          <w:ilvl w:val="0"/>
          <w:numId w:val="13"/>
        </w:numPr>
        <w:ind w:left="1080"/>
        <w:rPr>
          <w:rFonts w:asciiTheme="majorHAnsi" w:hAnsiTheme="majorHAnsi"/>
          <w:szCs w:val="22"/>
        </w:rPr>
      </w:pPr>
      <w:r w:rsidRPr="00323B02">
        <w:rPr>
          <w:rFonts w:asciiTheme="majorHAnsi" w:hAnsiTheme="majorHAnsi"/>
          <w:szCs w:val="22"/>
        </w:rPr>
        <w:t xml:space="preserve">Review the form and tailor as necessary for your project; </w:t>
      </w:r>
    </w:p>
    <w:p w14:paraId="57BE168D" w14:textId="0158EC7A" w:rsidR="00030883" w:rsidRPr="00323B02" w:rsidRDefault="00030883" w:rsidP="00030883">
      <w:pPr>
        <w:pStyle w:val="BBClause2"/>
        <w:numPr>
          <w:ilvl w:val="0"/>
          <w:numId w:val="13"/>
        </w:numPr>
        <w:ind w:left="1080"/>
        <w:rPr>
          <w:rFonts w:asciiTheme="majorHAnsi" w:hAnsiTheme="majorHAnsi"/>
          <w:szCs w:val="22"/>
        </w:rPr>
      </w:pPr>
      <w:r w:rsidRPr="00323B02">
        <w:rPr>
          <w:rFonts w:asciiTheme="majorHAnsi" w:hAnsiTheme="majorHAnsi"/>
          <w:szCs w:val="22"/>
        </w:rPr>
        <w:t xml:space="preserve">Ensure the confirmations and representations are consistent with clause 4.2 and clause 5.3; and </w:t>
      </w:r>
    </w:p>
    <w:p w14:paraId="3273F59E" w14:textId="401C77E9" w:rsidR="00030883" w:rsidRPr="00323B02" w:rsidRDefault="00030883" w:rsidP="00030883">
      <w:pPr>
        <w:pStyle w:val="BBClause2"/>
        <w:numPr>
          <w:ilvl w:val="0"/>
          <w:numId w:val="13"/>
        </w:numPr>
        <w:ind w:left="1080"/>
        <w:rPr>
          <w:rFonts w:asciiTheme="majorHAnsi" w:hAnsiTheme="majorHAnsi"/>
          <w:szCs w:val="22"/>
        </w:rPr>
      </w:pPr>
      <w:r w:rsidRPr="00323B02">
        <w:rPr>
          <w:rFonts w:asciiTheme="majorHAnsi" w:hAnsiTheme="majorHAnsi"/>
          <w:szCs w:val="22"/>
        </w:rPr>
        <w:t>Consider what supporting documentation should be listed as enclosures (e.g., invoices, payment certificates, evidence that the amount is within the Budget).</w:t>
      </w:r>
    </w:p>
    <w:p w14:paraId="52F394E7" w14:textId="3DE249E2" w:rsidR="006E21E2" w:rsidRPr="00A34295" w:rsidRDefault="0032298E" w:rsidP="00A34295">
      <w:pPr>
        <w:pStyle w:val="BBClause2"/>
        <w:numPr>
          <w:ilvl w:val="1"/>
          <w:numId w:val="8"/>
        </w:numPr>
        <w:rPr>
          <w:rFonts w:asciiTheme="majorHAnsi" w:hAnsiTheme="majorHAnsi"/>
          <w:b/>
          <w:bCs/>
          <w:szCs w:val="22"/>
          <w:u w:val="single"/>
        </w:rPr>
      </w:pPr>
      <w:r w:rsidRPr="00A34295">
        <w:rPr>
          <w:rFonts w:asciiTheme="majorHAnsi" w:hAnsiTheme="majorHAnsi"/>
          <w:b/>
          <w:bCs/>
          <w:szCs w:val="22"/>
          <w:u w:val="single"/>
        </w:rPr>
        <w:t xml:space="preserve">Schedule 3: Form of Compliance Certificate </w:t>
      </w:r>
    </w:p>
    <w:p w14:paraId="43E0A616" w14:textId="77777777" w:rsidR="00D5730D" w:rsidRPr="00D5730D" w:rsidRDefault="00D5730D" w:rsidP="00D5730D">
      <w:pPr>
        <w:pStyle w:val="BBClause2"/>
        <w:ind w:left="720"/>
        <w:rPr>
          <w:rFonts w:asciiTheme="majorHAnsi" w:hAnsiTheme="majorHAnsi"/>
          <w:szCs w:val="22"/>
        </w:rPr>
      </w:pPr>
      <w:r w:rsidRPr="00A34295">
        <w:rPr>
          <w:rFonts w:asciiTheme="majorHAnsi" w:hAnsiTheme="majorHAnsi"/>
          <w:b/>
          <w:bCs/>
          <w:szCs w:val="22"/>
        </w:rPr>
        <w:t>Purpose</w:t>
      </w:r>
      <w:r w:rsidRPr="00D5730D">
        <w:rPr>
          <w:rFonts w:asciiTheme="majorHAnsi" w:hAnsiTheme="majorHAnsi"/>
          <w:szCs w:val="22"/>
        </w:rPr>
        <w:t>: This schedule provides the prescribed form of Compliance Certificate to be delivered by the Borrower alongside each set of financial statements pursuant to clause 11.2. The Compliance Certificate is the formal mechanism by which the Borrower certifies compliance with the financial covenants in clause 12 and confirms whether any Potential Event of Default is continuing.</w:t>
      </w:r>
    </w:p>
    <w:p w14:paraId="1C507123" w14:textId="77777777" w:rsidR="00D5730D" w:rsidRPr="00A34295" w:rsidRDefault="00D5730D" w:rsidP="00D5730D">
      <w:pPr>
        <w:pStyle w:val="BBClause2"/>
        <w:ind w:left="720"/>
        <w:rPr>
          <w:rFonts w:asciiTheme="majorHAnsi" w:hAnsiTheme="majorHAnsi"/>
          <w:b/>
          <w:bCs/>
          <w:szCs w:val="22"/>
        </w:rPr>
      </w:pPr>
      <w:r w:rsidRPr="00A34295">
        <w:rPr>
          <w:rFonts w:asciiTheme="majorHAnsi" w:hAnsiTheme="majorHAnsi"/>
          <w:b/>
          <w:bCs/>
          <w:szCs w:val="22"/>
        </w:rPr>
        <w:t>Action Required:</w:t>
      </w:r>
    </w:p>
    <w:p w14:paraId="0987DC0D" w14:textId="77777777" w:rsidR="00D5730D" w:rsidRPr="00D5730D" w:rsidRDefault="00D5730D" w:rsidP="00A34295">
      <w:pPr>
        <w:pStyle w:val="BBClause2"/>
        <w:numPr>
          <w:ilvl w:val="0"/>
          <w:numId w:val="25"/>
        </w:numPr>
        <w:rPr>
          <w:rFonts w:asciiTheme="majorHAnsi" w:hAnsiTheme="majorHAnsi"/>
          <w:szCs w:val="22"/>
        </w:rPr>
      </w:pPr>
      <w:r w:rsidRPr="00D5730D">
        <w:rPr>
          <w:rFonts w:asciiTheme="majorHAnsi" w:hAnsiTheme="majorHAnsi"/>
          <w:szCs w:val="22"/>
        </w:rPr>
        <w:t>Insert the Total Facility Amount, date of the Facility Agreement, and full legal names of the Borrower and Lender in the header.</w:t>
      </w:r>
    </w:p>
    <w:p w14:paraId="4A4C3490" w14:textId="77777777" w:rsidR="00D5730D" w:rsidRPr="00D5730D" w:rsidRDefault="00D5730D" w:rsidP="00A34295">
      <w:pPr>
        <w:pStyle w:val="BBClause2"/>
        <w:numPr>
          <w:ilvl w:val="0"/>
          <w:numId w:val="25"/>
        </w:numPr>
        <w:rPr>
          <w:rFonts w:asciiTheme="majorHAnsi" w:hAnsiTheme="majorHAnsi"/>
          <w:szCs w:val="22"/>
        </w:rPr>
      </w:pPr>
      <w:r w:rsidRPr="00D5730D">
        <w:rPr>
          <w:rFonts w:asciiTheme="majorHAnsi" w:hAnsiTheme="majorHAnsi"/>
          <w:szCs w:val="22"/>
        </w:rPr>
        <w:t>Confirm the reference to clause 12 as the financial covenants clause and update if clause numbering changes.</w:t>
      </w:r>
    </w:p>
    <w:p w14:paraId="17A8E942" w14:textId="4FAF0A9B" w:rsidR="006E21E2" w:rsidRPr="00323B02" w:rsidRDefault="00D5730D" w:rsidP="00A34295">
      <w:pPr>
        <w:pStyle w:val="BBClause2"/>
        <w:numPr>
          <w:ilvl w:val="0"/>
          <w:numId w:val="25"/>
        </w:numPr>
        <w:rPr>
          <w:rFonts w:asciiTheme="majorHAnsi" w:hAnsiTheme="majorHAnsi"/>
          <w:szCs w:val="22"/>
        </w:rPr>
      </w:pPr>
      <w:r w:rsidRPr="00D5730D">
        <w:rPr>
          <w:rFonts w:asciiTheme="majorHAnsi" w:hAnsiTheme="majorHAnsi"/>
          <w:szCs w:val="22"/>
        </w:rPr>
        <w:t>Agree the format of the computation workings to be enclosed with each Compliance Certificate with your financial advisers and the Borrower in advance, to ensure they are prepared consistently.</w:t>
      </w:r>
    </w:p>
    <w:p w14:paraId="33E3A6A7" w14:textId="4E0E8947" w:rsidR="00253A09" w:rsidRPr="0034167D" w:rsidRDefault="00253A09" w:rsidP="0034167D">
      <w:pPr>
        <w:pStyle w:val="BBClause2"/>
        <w:rPr>
          <w:rFonts w:asciiTheme="majorHAnsi" w:hAnsiTheme="majorHAnsi"/>
          <w:szCs w:val="22"/>
        </w:rPr>
      </w:pPr>
    </w:p>
    <w:sectPr w:rsidR="00253A09" w:rsidRPr="0034167D" w:rsidSect="008655EE">
      <w:headerReference w:type="even" r:id="rId20"/>
      <w:headerReference w:type="default" r:id="rId21"/>
      <w:footerReference w:type="default" r:id="rId22"/>
      <w:headerReference w:type="first" r:id="rId23"/>
      <w:pgSz w:w="11906" w:h="16838" w:code="9"/>
      <w:pgMar w:top="1440" w:right="1418" w:bottom="1440"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5F777" w14:textId="77777777" w:rsidR="000D3612" w:rsidRDefault="000D3612" w:rsidP="00B01583">
      <w:r>
        <w:separator/>
      </w:r>
    </w:p>
  </w:endnote>
  <w:endnote w:type="continuationSeparator" w:id="0">
    <w:p w14:paraId="2F1C32B3" w14:textId="77777777" w:rsidR="000D3612" w:rsidRDefault="000D3612"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DE0B7" w14:textId="77777777" w:rsidR="00117628" w:rsidRDefault="001176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95ADD" w14:textId="77777777" w:rsidR="00117628" w:rsidRDefault="001176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E8A58" w14:textId="25BAB94C" w:rsidR="007A4324" w:rsidRPr="00BD5F83" w:rsidRDefault="00E07042" w:rsidP="007A4324">
    <w:pPr>
      <w:pStyle w:val="BodyText"/>
      <w:spacing w:before="120"/>
      <w:jc w:val="center"/>
      <w:rPr>
        <w:szCs w:val="22"/>
      </w:rPr>
    </w:pPr>
    <w:r>
      <w:rPr>
        <w:noProof/>
      </w:rPr>
      <w:drawing>
        <wp:inline distT="0" distB="0" distL="0" distR="0" wp14:anchorId="43C2F87A" wp14:editId="5D28855F">
          <wp:extent cx="1511300" cy="266700"/>
          <wp:effectExtent l="0" t="0" r="0" b="0"/>
          <wp:docPr id="1231493353" name="Picture 1231493353" descr="A black and grey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grey symbol&#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289E4150" w14:textId="77777777" w:rsidR="007A4324" w:rsidRDefault="007A4324" w:rsidP="007A4324">
    <w:pPr>
      <w:pStyle w:val="BodyText"/>
      <w:spacing w:after="0"/>
      <w:jc w:val="center"/>
      <w:rPr>
        <w:sz w:val="16"/>
        <w:szCs w:val="16"/>
        <w:lang w:val="en-US"/>
      </w:rPr>
    </w:pPr>
    <w:r>
      <w:rPr>
        <w:sz w:val="16"/>
        <w:szCs w:val="16"/>
        <w:lang w:val="en-US"/>
      </w:rPr>
      <w:t>Bird &amp; Bird LLP, 12 New Fetter Lane, London EC4A 1JP, United Kingdom</w:t>
    </w:r>
  </w:p>
  <w:p w14:paraId="3602C94A" w14:textId="59ABEBCA" w:rsidR="007A4324" w:rsidRDefault="007A4324" w:rsidP="007A4324">
    <w:pPr>
      <w:pStyle w:val="Footer"/>
    </w:pPr>
    <w:r w:rsidRPr="00E37E62">
      <w:rPr>
        <w:sz w:val="16"/>
        <w:szCs w:val="16"/>
      </w:rPr>
      <w:t xml:space="preserve">T: +44 (0)20 7415 6000 | </w:t>
    </w:r>
    <w:hyperlink r:id="rId2" w:history="1">
      <w:r w:rsidRPr="00E37E62">
        <w:rPr>
          <w:sz w:val="16"/>
          <w:szCs w:val="16"/>
        </w:rPr>
        <w:t>www.twobirds.com</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85331" w14:textId="77777777" w:rsidR="00361064" w:rsidRDefault="00361064" w:rsidP="00361064">
    <w:pPr>
      <w:rPr>
        <w:sz w:val="22"/>
        <w:szCs w:val="22"/>
      </w:rPr>
    </w:pPr>
  </w:p>
  <w:p w14:paraId="6B9428D4" w14:textId="77777777" w:rsidR="00BD5F83" w:rsidRPr="00F80A38" w:rsidRDefault="00BD5F83" w:rsidP="00361064">
    <w:pPr>
      <w:pStyle w:val="Footer"/>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98BC" w14:textId="77777777" w:rsidR="00BD5F83" w:rsidRDefault="00BD5F83" w:rsidP="00B90E96">
    <w:pPr>
      <w:pStyle w:val="Footer"/>
    </w:pPr>
    <w:r>
      <w:fldChar w:fldCharType="begin"/>
    </w:r>
    <w:r>
      <w:instrText xml:space="preserve"> PAGE   \* MERGEFORMAT </w:instrText>
    </w:r>
    <w:r>
      <w:fldChar w:fldCharType="separate"/>
    </w:r>
    <w:r w:rsidR="00D35E4A">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24825" w14:textId="77777777" w:rsidR="000D3612" w:rsidRDefault="000D3612" w:rsidP="00B01583">
      <w:r>
        <w:separator/>
      </w:r>
    </w:p>
  </w:footnote>
  <w:footnote w:type="continuationSeparator" w:id="0">
    <w:p w14:paraId="58D1979E" w14:textId="77777777" w:rsidR="000D3612" w:rsidRDefault="000D3612"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04DB9" w14:textId="3A31A92B" w:rsidR="009C5CE5" w:rsidRDefault="00A91C2E">
    <w:pPr>
      <w:pStyle w:val="Header"/>
    </w:pPr>
    <w:r>
      <w:rPr>
        <w:noProof/>
      </w:rPr>
      <w:pict w14:anchorId="13CCFD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6" o:spid="_x0000_s1026" type="#_x0000_t136" style="position:absolute;left:0;text-align:left;margin-left:0;margin-top:0;width:580.95pt;height:55.3pt;rotation:315;z-index:-25165516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57" w:type="dxa"/>
        <w:right w:w="57" w:type="dxa"/>
      </w:tblCellMar>
      <w:tblLook w:val="01E0" w:firstRow="1" w:lastRow="1" w:firstColumn="1" w:lastColumn="1" w:noHBand="0" w:noVBand="0"/>
    </w:tblPr>
    <w:tblGrid>
      <w:gridCol w:w="3582"/>
      <w:gridCol w:w="5444"/>
    </w:tblGrid>
    <w:tr w:rsidR="00982913" w:rsidRPr="006223B8" w14:paraId="2C8D4A40" w14:textId="77777777" w:rsidTr="00E44E72">
      <w:trPr>
        <w:cantSplit/>
        <w:trHeight w:val="810"/>
      </w:trPr>
      <w:tc>
        <w:tcPr>
          <w:tcW w:w="1984" w:type="pct"/>
        </w:tcPr>
        <w:p w14:paraId="10673EC1" w14:textId="789C4F4D" w:rsidR="00982913" w:rsidRPr="006223B8" w:rsidRDefault="00982913" w:rsidP="00C501B2">
          <w:r w:rsidRPr="006223B8">
            <w:rPr>
              <w:noProof/>
            </w:rPr>
            <w:drawing>
              <wp:inline distT="0" distB="0" distL="0" distR="0" wp14:anchorId="44C86AF9" wp14:editId="57BC99F0">
                <wp:extent cx="1518700" cy="390523"/>
                <wp:effectExtent l="0" t="0" r="5715" b="0"/>
                <wp:docPr id="2106889247" name="Picture 2"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906643" name="Picture 2" descr="A close up of a sign&#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29626" cy="393333"/>
                        </a:xfrm>
                        <a:prstGeom prst="rect">
                          <a:avLst/>
                        </a:prstGeom>
                        <a:noFill/>
                        <a:ln>
                          <a:noFill/>
                        </a:ln>
                      </pic:spPr>
                    </pic:pic>
                  </a:graphicData>
                </a:graphic>
              </wp:inline>
            </w:drawing>
          </w:r>
        </w:p>
      </w:tc>
      <w:tc>
        <w:tcPr>
          <w:tcW w:w="3016" w:type="pct"/>
          <w:vAlign w:val="center"/>
        </w:tcPr>
        <w:p w14:paraId="03A358AB" w14:textId="0B295030" w:rsidR="00982913" w:rsidRPr="00C501B2" w:rsidRDefault="009071AC" w:rsidP="00E44E72">
          <w:pPr>
            <w:pStyle w:val="BodyText"/>
            <w:jc w:val="right"/>
            <w:rPr>
              <w:sz w:val="20"/>
            </w:rPr>
          </w:pPr>
          <w:r>
            <w:rPr>
              <w:sz w:val="20"/>
            </w:rPr>
            <w:t>Shareholders' Agreement</w:t>
          </w:r>
        </w:p>
      </w:tc>
    </w:tr>
  </w:tbl>
  <w:p w14:paraId="43664095" w14:textId="129705C9" w:rsidR="00C501B2" w:rsidRPr="006223B8" w:rsidRDefault="00A91C2E" w:rsidP="00C501B2">
    <w:pPr>
      <w:pStyle w:val="Header"/>
      <w:rPr>
        <w:rFonts w:eastAsia="Arial"/>
      </w:rPr>
    </w:pPr>
    <w:r>
      <w:rPr>
        <w:noProof/>
      </w:rPr>
      <w:pict w14:anchorId="2D2F81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7" o:spid="_x0000_s1027" type="#_x0000_t136" style="position:absolute;left:0;text-align:left;margin-left:0;margin-top:0;width:580.95pt;height:55.3pt;rotation:315;z-index:-25165312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412E3" w14:textId="199E412D" w:rsidR="009C5CE5" w:rsidRDefault="00A91C2E">
    <w:pPr>
      <w:pStyle w:val="Header"/>
    </w:pPr>
    <w:r>
      <w:rPr>
        <w:noProof/>
      </w:rPr>
      <w:pict w14:anchorId="42A39B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5" o:spid="_x0000_s1025" type="#_x0000_t136" style="position:absolute;left:0;text-align:left;margin-left:0;margin-top:0;width:580.95pt;height:55.3pt;rotation:315;z-index:-25165721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4FFB4" w14:textId="1A1B8C74" w:rsidR="00E07042" w:rsidRDefault="00A91C2E">
    <w:pPr>
      <w:pStyle w:val="Header"/>
    </w:pPr>
    <w:r>
      <w:rPr>
        <w:noProof/>
      </w:rPr>
      <w:pict w14:anchorId="19FD00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9" o:spid="_x0000_s1029" type="#_x0000_t136" style="position:absolute;left:0;text-align:left;margin-left:0;margin-top:0;width:580.95pt;height:55.3pt;rotation:315;z-index:-25164902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8BB51" w14:textId="36E50CCB" w:rsidR="00E07042" w:rsidRDefault="00A91C2E">
    <w:pPr>
      <w:pStyle w:val="Header"/>
    </w:pPr>
    <w:r>
      <w:rPr>
        <w:noProof/>
      </w:rPr>
      <w:pict w14:anchorId="3B473C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0" o:spid="_x0000_s1030" type="#_x0000_t136" style="position:absolute;left:0;text-align:left;margin-left:0;margin-top:0;width:580.95pt;height:55.3pt;rotation:315;z-index:-25164697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5A70" w14:textId="18C68834" w:rsidR="00E07042" w:rsidRDefault="00A91C2E">
    <w:pPr>
      <w:pStyle w:val="Header"/>
    </w:pPr>
    <w:r>
      <w:rPr>
        <w:noProof/>
      </w:rPr>
      <w:pict w14:anchorId="26F4CF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8" o:spid="_x0000_s1028" type="#_x0000_t136" style="position:absolute;left:0;text-align:left;margin-left:0;margin-top:0;width:580.95pt;height:55.3pt;rotation:315;z-index:-25165107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14586" w14:textId="2A97F3E9" w:rsidR="00E07042" w:rsidRDefault="00A91C2E">
    <w:pPr>
      <w:pStyle w:val="Header"/>
    </w:pPr>
    <w:r>
      <w:rPr>
        <w:noProof/>
      </w:rPr>
      <w:pict w14:anchorId="5B536D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2" o:spid="_x0000_s1032" type="#_x0000_t136" style="position:absolute;left:0;text-align:left;margin-left:0;margin-top:0;width:580.95pt;height:55.3pt;rotation:315;z-index:-25164288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5267E" w14:textId="59125B25" w:rsidR="00E07042" w:rsidRDefault="00A91C2E">
    <w:pPr>
      <w:pStyle w:val="Header"/>
    </w:pPr>
    <w:r>
      <w:rPr>
        <w:noProof/>
      </w:rPr>
      <w:pict w14:anchorId="69756E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3" o:spid="_x0000_s1033" type="#_x0000_t136" style="position:absolute;left:0;text-align:left;margin-left:0;margin-top:0;width:580.95pt;height:55.3pt;rotation:315;z-index:-25164083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C3DF0" w14:textId="3C1199D7" w:rsidR="00E07042" w:rsidRDefault="00A91C2E">
    <w:pPr>
      <w:pStyle w:val="Header"/>
    </w:pPr>
    <w:r>
      <w:rPr>
        <w:noProof/>
      </w:rPr>
      <w:pict w14:anchorId="5CB237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1" o:spid="_x0000_s1031" type="#_x0000_t136" style="position:absolute;left:0;text-align:left;margin-left:0;margin-top:0;width:580.95pt;height:55.3pt;rotation:315;z-index:-25164492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548C1"/>
    <w:multiLevelType w:val="hybridMultilevel"/>
    <w:tmpl w:val="A418D03C"/>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3D9466E"/>
    <w:multiLevelType w:val="multilevel"/>
    <w:tmpl w:val="22B85D12"/>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2" w15:restartNumberingAfterBreak="0">
    <w:nsid w:val="06230BED"/>
    <w:multiLevelType w:val="multilevel"/>
    <w:tmpl w:val="EA64A222"/>
    <w:lvl w:ilvl="0">
      <w:start w:val="1"/>
      <w:numFmt w:val="decimal"/>
      <w:lvlText w:val="%1."/>
      <w:lvlJc w:val="left"/>
      <w:pPr>
        <w:ind w:left="720" w:hanging="720"/>
      </w:pPr>
      <w:rPr>
        <w:rFonts w:hint="default"/>
      </w:rPr>
    </w:lvl>
    <w:lvl w:ilvl="1">
      <w:start w:val="1"/>
      <w:numFmt w:val="bullet"/>
      <w:lvlText w:val=""/>
      <w:lvlJc w:val="left"/>
      <w:pPr>
        <w:ind w:left="36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982" w:hanging="360"/>
      </w:pPr>
      <w:rPr>
        <w:rFonts w:ascii="Symbol" w:hAnsi="Symbol"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3" w15:restartNumberingAfterBreak="0">
    <w:nsid w:val="0DE71C42"/>
    <w:multiLevelType w:val="hybridMultilevel"/>
    <w:tmpl w:val="B23C5D8A"/>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28371D4"/>
    <w:multiLevelType w:val="hybridMultilevel"/>
    <w:tmpl w:val="CA3A94A8"/>
    <w:lvl w:ilvl="0" w:tplc="793EA80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286315E9"/>
    <w:multiLevelType w:val="multilevel"/>
    <w:tmpl w:val="D47AE55E"/>
    <w:lvl w:ilvl="0">
      <w:start w:val="1"/>
      <w:numFmt w:val="upperLetter"/>
      <w:pStyle w:val="BBRecitals"/>
      <w:lvlText w:val="(%1)"/>
      <w:lvlJc w:val="left"/>
      <w:pPr>
        <w:ind w:left="720" w:hanging="720"/>
      </w:pPr>
      <w:rPr>
        <w:rFonts w:hint="default"/>
        <w:b w:val="0"/>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7" w15:restartNumberingAfterBreak="0">
    <w:nsid w:val="32EF33B9"/>
    <w:multiLevelType w:val="hybridMultilevel"/>
    <w:tmpl w:val="E7C4C73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547362C"/>
    <w:multiLevelType w:val="hybridMultilevel"/>
    <w:tmpl w:val="EA5A08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C2C365B"/>
    <w:multiLevelType w:val="multilevel"/>
    <w:tmpl w:val="C70A4AB8"/>
    <w:styleLink w:val="NumberingMain"/>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tabs>
          <w:tab w:val="num" w:pos="1622"/>
        </w:tabs>
        <w:ind w:left="1622" w:hanging="902"/>
      </w:pPr>
      <w:rPr>
        <w:rFonts w:hint="default"/>
      </w:rPr>
    </w:lvl>
    <w:lvl w:ilvl="3">
      <w:start w:val="1"/>
      <w:numFmt w:val="decimal"/>
      <w:lvlText w:val="%1.%2.%3.%4"/>
      <w:lvlJc w:val="left"/>
      <w:pPr>
        <w:tabs>
          <w:tab w:val="num" w:pos="2699"/>
        </w:tabs>
        <w:ind w:left="2699" w:hanging="1077"/>
      </w:pPr>
      <w:rPr>
        <w:rFonts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10" w15:restartNumberingAfterBreak="0">
    <w:nsid w:val="42807438"/>
    <w:multiLevelType w:val="hybridMultilevel"/>
    <w:tmpl w:val="B5C85E40"/>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44431233"/>
    <w:multiLevelType w:val="multilevel"/>
    <w:tmpl w:val="A5A07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6A3883"/>
    <w:multiLevelType w:val="hybridMultilevel"/>
    <w:tmpl w:val="6380C4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49231AE8"/>
    <w:multiLevelType w:val="multilevel"/>
    <w:tmpl w:val="447A854A"/>
    <w:lvl w:ilvl="0">
      <w:start w:val="1"/>
      <w:numFmt w:val="decimal"/>
      <w:pStyle w:val="BBScheduleTitle"/>
      <w:suff w:val="nothing"/>
      <w:lvlText w:val="SCHEDULE %1"/>
      <w:lvlJc w:val="center"/>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E18471A"/>
    <w:multiLevelType w:val="multilevel"/>
    <w:tmpl w:val="735036AE"/>
    <w:lvl w:ilvl="0">
      <w:start w:val="1"/>
      <w:numFmt w:val="none"/>
      <w:pStyle w:val="BBDefinition"/>
      <w:lvlText w:val=""/>
      <w:lvlJc w:val="left"/>
      <w:pPr>
        <w:ind w:left="720" w:hanging="720"/>
      </w:pPr>
      <w:rPr>
        <w:rFonts w:hint="default"/>
      </w:rPr>
    </w:lvl>
    <w:lvl w:ilvl="1">
      <w:start w:val="1"/>
      <w:numFmt w:val="lowerLetter"/>
      <w:pStyle w:val="BBDefinitionLevel1"/>
      <w:lvlText w:val="(%2)"/>
      <w:lvlJc w:val="left"/>
      <w:pPr>
        <w:ind w:left="1440" w:hanging="720"/>
      </w:pPr>
      <w:rPr>
        <w:rFonts w:hint="default"/>
      </w:rPr>
    </w:lvl>
    <w:lvl w:ilvl="2">
      <w:start w:val="1"/>
      <w:numFmt w:val="lowerRoman"/>
      <w:pStyle w:val="BBDefinitionLevel2"/>
      <w:lvlText w:val="(%3)"/>
      <w:lvlJc w:val="left"/>
      <w:pPr>
        <w:ind w:left="2268" w:hanging="82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99E57EB"/>
    <w:multiLevelType w:val="multilevel"/>
    <w:tmpl w:val="933002F4"/>
    <w:numStyleLink w:val="Parties"/>
  </w:abstractNum>
  <w:abstractNum w:abstractNumId="19" w15:restartNumberingAfterBreak="0">
    <w:nsid w:val="6D9D5C65"/>
    <w:multiLevelType w:val="hybridMultilevel"/>
    <w:tmpl w:val="CFCEC4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74536FCA"/>
    <w:multiLevelType w:val="hybridMultilevel"/>
    <w:tmpl w:val="D85843FC"/>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5E177F3"/>
    <w:multiLevelType w:val="multilevel"/>
    <w:tmpl w:val="22B85D12"/>
    <w:numStyleLink w:val="NumberingSchedules"/>
  </w:abstractNum>
  <w:abstractNum w:abstractNumId="22" w15:restartNumberingAfterBreak="0">
    <w:nsid w:val="78053D11"/>
    <w:multiLevelType w:val="hybridMultilevel"/>
    <w:tmpl w:val="CC6AA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B19541B"/>
    <w:multiLevelType w:val="multilevel"/>
    <w:tmpl w:val="FD7AFA66"/>
    <w:lvl w:ilvl="0">
      <w:start w:val="1"/>
      <w:numFmt w:val="none"/>
      <w:pStyle w:val="DefinitionClause"/>
      <w:suff w:val="nothing"/>
      <w:lvlText w:val=""/>
      <w:lvlJc w:val="left"/>
      <w:pPr>
        <w:ind w:left="720" w:firstLine="0"/>
      </w:pPr>
      <w:rPr>
        <w:rFonts w:hint="default"/>
      </w:rPr>
    </w:lvl>
    <w:lvl w:ilvl="1">
      <w:start w:val="1"/>
      <w:numFmt w:val="lowerLetter"/>
      <w:pStyle w:val="DefinitionClauseNumbering"/>
      <w:lvlText w:val="%1(%2)"/>
      <w:lvlJc w:val="left"/>
      <w:pPr>
        <w:tabs>
          <w:tab w:val="num" w:pos="1440"/>
        </w:tabs>
        <w:ind w:left="1440" w:hanging="72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710425439">
    <w:abstractNumId w:val="1"/>
  </w:num>
  <w:num w:numId="2" w16cid:durableId="83498367">
    <w:abstractNumId w:val="6"/>
  </w:num>
  <w:num w:numId="3" w16cid:durableId="752943439">
    <w:abstractNumId w:val="16"/>
  </w:num>
  <w:num w:numId="4" w16cid:durableId="1874881795">
    <w:abstractNumId w:val="18"/>
  </w:num>
  <w:num w:numId="5" w16cid:durableId="1748654350">
    <w:abstractNumId w:val="17"/>
  </w:num>
  <w:num w:numId="6" w16cid:durableId="909313039">
    <w:abstractNumId w:val="9"/>
  </w:num>
  <w:num w:numId="7" w16cid:durableId="1133140534">
    <w:abstractNumId w:val="6"/>
  </w:num>
  <w:num w:numId="8" w16cid:durableId="525599901">
    <w:abstractNumId w:val="9"/>
    <w:lvlOverride w:ilvl="1">
      <w:lvl w:ilvl="1">
        <w:start w:val="1"/>
        <w:numFmt w:val="decimal"/>
        <w:lvlText w:val="%1.%2"/>
        <w:lvlJc w:val="left"/>
        <w:pPr>
          <w:ind w:left="720" w:hanging="720"/>
        </w:pPr>
        <w:rPr>
          <w:rFonts w:hint="default"/>
          <w:b w:val="0"/>
          <w:bCs w:val="0"/>
        </w:rPr>
      </w:lvl>
    </w:lvlOverride>
    <w:lvlOverride w:ilvl="2">
      <w:lvl w:ilvl="2">
        <w:start w:val="1"/>
        <w:numFmt w:val="decimal"/>
        <w:lvlText w:val="%1.%2.%3"/>
        <w:lvlJc w:val="left"/>
        <w:pPr>
          <w:tabs>
            <w:tab w:val="num" w:pos="1622"/>
          </w:tabs>
          <w:ind w:left="1622" w:hanging="902"/>
        </w:pPr>
        <w:rPr>
          <w:rFonts w:hint="default"/>
          <w:b w:val="0"/>
          <w:bCs w:val="0"/>
          <w:i w:val="0"/>
          <w:iCs w:val="0"/>
        </w:rPr>
      </w:lvl>
    </w:lvlOverride>
  </w:num>
  <w:num w:numId="9" w16cid:durableId="799298954">
    <w:abstractNumId w:val="15"/>
  </w:num>
  <w:num w:numId="10" w16cid:durableId="396634208">
    <w:abstractNumId w:val="5"/>
  </w:num>
  <w:num w:numId="11" w16cid:durableId="1735926167">
    <w:abstractNumId w:val="14"/>
  </w:num>
  <w:num w:numId="12" w16cid:durableId="1398673678">
    <w:abstractNumId w:val="21"/>
  </w:num>
  <w:num w:numId="13" w16cid:durableId="31074193">
    <w:abstractNumId w:val="7"/>
  </w:num>
  <w:num w:numId="14" w16cid:durableId="896865449">
    <w:abstractNumId w:val="2"/>
  </w:num>
  <w:num w:numId="15" w16cid:durableId="1723748845">
    <w:abstractNumId w:val="12"/>
  </w:num>
  <w:num w:numId="16" w16cid:durableId="1538857392">
    <w:abstractNumId w:val="8"/>
  </w:num>
  <w:num w:numId="17" w16cid:durableId="386535697">
    <w:abstractNumId w:val="19"/>
  </w:num>
  <w:num w:numId="18" w16cid:durableId="591545454">
    <w:abstractNumId w:val="23"/>
  </w:num>
  <w:num w:numId="19" w16cid:durableId="2081367778">
    <w:abstractNumId w:val="22"/>
  </w:num>
  <w:num w:numId="20" w16cid:durableId="409697746">
    <w:abstractNumId w:val="10"/>
  </w:num>
  <w:num w:numId="21" w16cid:durableId="312834691">
    <w:abstractNumId w:val="4"/>
  </w:num>
  <w:num w:numId="22" w16cid:durableId="1833598390">
    <w:abstractNumId w:val="3"/>
  </w:num>
  <w:num w:numId="23" w16cid:durableId="1426728334">
    <w:abstractNumId w:val="11"/>
  </w:num>
  <w:num w:numId="24" w16cid:durableId="904147613">
    <w:abstractNumId w:val="20"/>
  </w:num>
  <w:num w:numId="25" w16cid:durableId="129636886">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stylePaneFormatFilter w:val="B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1"/>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 w:name="TMS_TEMPLATE_ID" w:val="AGREEMENT"/>
  </w:docVars>
  <w:rsids>
    <w:rsidRoot w:val="00B95336"/>
    <w:rsid w:val="00003157"/>
    <w:rsid w:val="00004B6F"/>
    <w:rsid w:val="000128DF"/>
    <w:rsid w:val="0001347A"/>
    <w:rsid w:val="000175A1"/>
    <w:rsid w:val="000179D9"/>
    <w:rsid w:val="0002312C"/>
    <w:rsid w:val="00023465"/>
    <w:rsid w:val="0002778C"/>
    <w:rsid w:val="00030883"/>
    <w:rsid w:val="00033740"/>
    <w:rsid w:val="0003420D"/>
    <w:rsid w:val="0004239F"/>
    <w:rsid w:val="0004386D"/>
    <w:rsid w:val="00043871"/>
    <w:rsid w:val="0004672B"/>
    <w:rsid w:val="0004779B"/>
    <w:rsid w:val="00055064"/>
    <w:rsid w:val="000558A0"/>
    <w:rsid w:val="00063248"/>
    <w:rsid w:val="000643F7"/>
    <w:rsid w:val="00071F4C"/>
    <w:rsid w:val="00084C40"/>
    <w:rsid w:val="00085287"/>
    <w:rsid w:val="00086AB5"/>
    <w:rsid w:val="0009275F"/>
    <w:rsid w:val="000A03BB"/>
    <w:rsid w:val="000A0F22"/>
    <w:rsid w:val="000A1ACD"/>
    <w:rsid w:val="000A36C8"/>
    <w:rsid w:val="000B0AF1"/>
    <w:rsid w:val="000C7E74"/>
    <w:rsid w:val="000D1FB9"/>
    <w:rsid w:val="000D3612"/>
    <w:rsid w:val="000D3DA9"/>
    <w:rsid w:val="000D6502"/>
    <w:rsid w:val="000D736C"/>
    <w:rsid w:val="000E6FA0"/>
    <w:rsid w:val="000E7ACE"/>
    <w:rsid w:val="00100251"/>
    <w:rsid w:val="00110D63"/>
    <w:rsid w:val="00117628"/>
    <w:rsid w:val="0012438F"/>
    <w:rsid w:val="001256A3"/>
    <w:rsid w:val="00126520"/>
    <w:rsid w:val="00127662"/>
    <w:rsid w:val="001279EF"/>
    <w:rsid w:val="00132BAA"/>
    <w:rsid w:val="00132BE5"/>
    <w:rsid w:val="00136AAC"/>
    <w:rsid w:val="00136CAD"/>
    <w:rsid w:val="0014266F"/>
    <w:rsid w:val="00146110"/>
    <w:rsid w:val="00152A99"/>
    <w:rsid w:val="0016372F"/>
    <w:rsid w:val="0016379B"/>
    <w:rsid w:val="001649A5"/>
    <w:rsid w:val="00181E9C"/>
    <w:rsid w:val="001957E1"/>
    <w:rsid w:val="00195963"/>
    <w:rsid w:val="00196539"/>
    <w:rsid w:val="00197A41"/>
    <w:rsid w:val="001B3E13"/>
    <w:rsid w:val="001B663E"/>
    <w:rsid w:val="001B72D6"/>
    <w:rsid w:val="001C41EE"/>
    <w:rsid w:val="001C51B2"/>
    <w:rsid w:val="001C5240"/>
    <w:rsid w:val="001D0D06"/>
    <w:rsid w:val="001D101D"/>
    <w:rsid w:val="001D6EDD"/>
    <w:rsid w:val="001E71EE"/>
    <w:rsid w:val="001F39A3"/>
    <w:rsid w:val="0020171E"/>
    <w:rsid w:val="00203B55"/>
    <w:rsid w:val="00203B5C"/>
    <w:rsid w:val="002064B6"/>
    <w:rsid w:val="002115D4"/>
    <w:rsid w:val="002142D7"/>
    <w:rsid w:val="002153F1"/>
    <w:rsid w:val="002154A8"/>
    <w:rsid w:val="00221CCF"/>
    <w:rsid w:val="0022388F"/>
    <w:rsid w:val="00240549"/>
    <w:rsid w:val="00241A69"/>
    <w:rsid w:val="00250395"/>
    <w:rsid w:val="002521F3"/>
    <w:rsid w:val="00253A09"/>
    <w:rsid w:val="00253B90"/>
    <w:rsid w:val="00254A1C"/>
    <w:rsid w:val="0025511A"/>
    <w:rsid w:val="0026372C"/>
    <w:rsid w:val="00267622"/>
    <w:rsid w:val="00273073"/>
    <w:rsid w:val="00273BA1"/>
    <w:rsid w:val="00282EBC"/>
    <w:rsid w:val="00295A39"/>
    <w:rsid w:val="002A04C1"/>
    <w:rsid w:val="002A294A"/>
    <w:rsid w:val="002A3BAC"/>
    <w:rsid w:val="002A5913"/>
    <w:rsid w:val="002C4E15"/>
    <w:rsid w:val="002D16C9"/>
    <w:rsid w:val="002D1F2D"/>
    <w:rsid w:val="002D3E0C"/>
    <w:rsid w:val="002D43F0"/>
    <w:rsid w:val="002E5887"/>
    <w:rsid w:val="00301DDE"/>
    <w:rsid w:val="00310C12"/>
    <w:rsid w:val="00316166"/>
    <w:rsid w:val="0032298E"/>
    <w:rsid w:val="00323B02"/>
    <w:rsid w:val="0032670A"/>
    <w:rsid w:val="0033295C"/>
    <w:rsid w:val="00335E47"/>
    <w:rsid w:val="0034167D"/>
    <w:rsid w:val="00343509"/>
    <w:rsid w:val="003435FA"/>
    <w:rsid w:val="00343B1C"/>
    <w:rsid w:val="00352648"/>
    <w:rsid w:val="00354FD0"/>
    <w:rsid w:val="00356D2A"/>
    <w:rsid w:val="003576E8"/>
    <w:rsid w:val="00357960"/>
    <w:rsid w:val="00357E7B"/>
    <w:rsid w:val="00361064"/>
    <w:rsid w:val="00366FD3"/>
    <w:rsid w:val="00372E97"/>
    <w:rsid w:val="003814E4"/>
    <w:rsid w:val="00383576"/>
    <w:rsid w:val="003A3064"/>
    <w:rsid w:val="003A5FAB"/>
    <w:rsid w:val="003B1D5C"/>
    <w:rsid w:val="003C4CA6"/>
    <w:rsid w:val="003C5B2F"/>
    <w:rsid w:val="003C7973"/>
    <w:rsid w:val="003D6DF6"/>
    <w:rsid w:val="003E014C"/>
    <w:rsid w:val="003E052B"/>
    <w:rsid w:val="003E11EB"/>
    <w:rsid w:val="003E22F1"/>
    <w:rsid w:val="003E3758"/>
    <w:rsid w:val="003E7832"/>
    <w:rsid w:val="003F0E5F"/>
    <w:rsid w:val="003F28BB"/>
    <w:rsid w:val="003F3057"/>
    <w:rsid w:val="003F6DAB"/>
    <w:rsid w:val="003F77E1"/>
    <w:rsid w:val="004017C9"/>
    <w:rsid w:val="00405FB9"/>
    <w:rsid w:val="00410B83"/>
    <w:rsid w:val="00411DD5"/>
    <w:rsid w:val="00412051"/>
    <w:rsid w:val="00413541"/>
    <w:rsid w:val="004201D6"/>
    <w:rsid w:val="00423E48"/>
    <w:rsid w:val="0042453B"/>
    <w:rsid w:val="00426B86"/>
    <w:rsid w:val="004314CD"/>
    <w:rsid w:val="00433269"/>
    <w:rsid w:val="0045064D"/>
    <w:rsid w:val="00460234"/>
    <w:rsid w:val="004607C3"/>
    <w:rsid w:val="00462C67"/>
    <w:rsid w:val="004630A2"/>
    <w:rsid w:val="00467782"/>
    <w:rsid w:val="00480060"/>
    <w:rsid w:val="0049112C"/>
    <w:rsid w:val="00491EDE"/>
    <w:rsid w:val="00494F48"/>
    <w:rsid w:val="004953A2"/>
    <w:rsid w:val="004A2778"/>
    <w:rsid w:val="004A6A77"/>
    <w:rsid w:val="004B005D"/>
    <w:rsid w:val="004C0954"/>
    <w:rsid w:val="004C75D5"/>
    <w:rsid w:val="004C75FF"/>
    <w:rsid w:val="004D305E"/>
    <w:rsid w:val="004D78FD"/>
    <w:rsid w:val="004E1906"/>
    <w:rsid w:val="004F0B75"/>
    <w:rsid w:val="004F1C69"/>
    <w:rsid w:val="004F479D"/>
    <w:rsid w:val="004F5FD0"/>
    <w:rsid w:val="004F7064"/>
    <w:rsid w:val="004F73FD"/>
    <w:rsid w:val="0050335F"/>
    <w:rsid w:val="00507BE3"/>
    <w:rsid w:val="005118A9"/>
    <w:rsid w:val="00514B45"/>
    <w:rsid w:val="00520A34"/>
    <w:rsid w:val="00525B83"/>
    <w:rsid w:val="00530164"/>
    <w:rsid w:val="005304FF"/>
    <w:rsid w:val="005343C0"/>
    <w:rsid w:val="00534833"/>
    <w:rsid w:val="0053780F"/>
    <w:rsid w:val="005406D7"/>
    <w:rsid w:val="0054151A"/>
    <w:rsid w:val="00544F40"/>
    <w:rsid w:val="00546266"/>
    <w:rsid w:val="00550980"/>
    <w:rsid w:val="00550DD3"/>
    <w:rsid w:val="00550E45"/>
    <w:rsid w:val="00551214"/>
    <w:rsid w:val="00561389"/>
    <w:rsid w:val="00567FDB"/>
    <w:rsid w:val="0057237B"/>
    <w:rsid w:val="0057372D"/>
    <w:rsid w:val="0057500F"/>
    <w:rsid w:val="00576A87"/>
    <w:rsid w:val="005779C6"/>
    <w:rsid w:val="005817C8"/>
    <w:rsid w:val="00583587"/>
    <w:rsid w:val="0059175F"/>
    <w:rsid w:val="005944F4"/>
    <w:rsid w:val="005A64AB"/>
    <w:rsid w:val="005A6A83"/>
    <w:rsid w:val="005A7772"/>
    <w:rsid w:val="005A7F4F"/>
    <w:rsid w:val="005B4A80"/>
    <w:rsid w:val="005B7FF8"/>
    <w:rsid w:val="005C49D8"/>
    <w:rsid w:val="005D06B1"/>
    <w:rsid w:val="005D28D0"/>
    <w:rsid w:val="005D57F9"/>
    <w:rsid w:val="005D66CF"/>
    <w:rsid w:val="005E0CBA"/>
    <w:rsid w:val="005E27D3"/>
    <w:rsid w:val="005E424C"/>
    <w:rsid w:val="005E5517"/>
    <w:rsid w:val="005E62A1"/>
    <w:rsid w:val="006002B6"/>
    <w:rsid w:val="00600EAF"/>
    <w:rsid w:val="006040F4"/>
    <w:rsid w:val="00604555"/>
    <w:rsid w:val="00606572"/>
    <w:rsid w:val="00613171"/>
    <w:rsid w:val="00615A5E"/>
    <w:rsid w:val="0062142F"/>
    <w:rsid w:val="0062249B"/>
    <w:rsid w:val="00630558"/>
    <w:rsid w:val="006426D0"/>
    <w:rsid w:val="0064323D"/>
    <w:rsid w:val="00643B5F"/>
    <w:rsid w:val="00652C6B"/>
    <w:rsid w:val="006572E3"/>
    <w:rsid w:val="006636B9"/>
    <w:rsid w:val="006645E7"/>
    <w:rsid w:val="0066731B"/>
    <w:rsid w:val="006708B1"/>
    <w:rsid w:val="00681B51"/>
    <w:rsid w:val="006877DB"/>
    <w:rsid w:val="00693789"/>
    <w:rsid w:val="00696918"/>
    <w:rsid w:val="00697391"/>
    <w:rsid w:val="006A1A3C"/>
    <w:rsid w:val="006A3F40"/>
    <w:rsid w:val="006A4761"/>
    <w:rsid w:val="006B2680"/>
    <w:rsid w:val="006B5DD3"/>
    <w:rsid w:val="006C1A24"/>
    <w:rsid w:val="006C4419"/>
    <w:rsid w:val="006C6E7F"/>
    <w:rsid w:val="006E21E2"/>
    <w:rsid w:val="006E36DD"/>
    <w:rsid w:val="006E6169"/>
    <w:rsid w:val="006F2045"/>
    <w:rsid w:val="006F2E99"/>
    <w:rsid w:val="006F4AE5"/>
    <w:rsid w:val="006F7052"/>
    <w:rsid w:val="0070043F"/>
    <w:rsid w:val="00701FC5"/>
    <w:rsid w:val="0071363F"/>
    <w:rsid w:val="00720C28"/>
    <w:rsid w:val="0072341B"/>
    <w:rsid w:val="007359E1"/>
    <w:rsid w:val="00740F96"/>
    <w:rsid w:val="00745850"/>
    <w:rsid w:val="007512E2"/>
    <w:rsid w:val="0075392B"/>
    <w:rsid w:val="0075491E"/>
    <w:rsid w:val="007565C2"/>
    <w:rsid w:val="00756D4C"/>
    <w:rsid w:val="00757F67"/>
    <w:rsid w:val="00761086"/>
    <w:rsid w:val="00761E93"/>
    <w:rsid w:val="0076506C"/>
    <w:rsid w:val="007700B9"/>
    <w:rsid w:val="00777762"/>
    <w:rsid w:val="00780484"/>
    <w:rsid w:val="007903A5"/>
    <w:rsid w:val="007947A8"/>
    <w:rsid w:val="00795BD9"/>
    <w:rsid w:val="00796FC3"/>
    <w:rsid w:val="007A4324"/>
    <w:rsid w:val="007B2314"/>
    <w:rsid w:val="007B61E4"/>
    <w:rsid w:val="007B67E1"/>
    <w:rsid w:val="007B7049"/>
    <w:rsid w:val="007C0B5D"/>
    <w:rsid w:val="007C1C9E"/>
    <w:rsid w:val="007C4A0E"/>
    <w:rsid w:val="007D039E"/>
    <w:rsid w:val="007E06B2"/>
    <w:rsid w:val="007E2377"/>
    <w:rsid w:val="007E4F82"/>
    <w:rsid w:val="007E6815"/>
    <w:rsid w:val="007F142E"/>
    <w:rsid w:val="007F292F"/>
    <w:rsid w:val="007F6CF9"/>
    <w:rsid w:val="007F7792"/>
    <w:rsid w:val="00802760"/>
    <w:rsid w:val="00805B15"/>
    <w:rsid w:val="00805B81"/>
    <w:rsid w:val="0081096B"/>
    <w:rsid w:val="008149D0"/>
    <w:rsid w:val="00816003"/>
    <w:rsid w:val="00821BEB"/>
    <w:rsid w:val="00837CC6"/>
    <w:rsid w:val="008416D7"/>
    <w:rsid w:val="00843645"/>
    <w:rsid w:val="00844BF2"/>
    <w:rsid w:val="00855328"/>
    <w:rsid w:val="00863635"/>
    <w:rsid w:val="008655EE"/>
    <w:rsid w:val="00871FBD"/>
    <w:rsid w:val="00873C55"/>
    <w:rsid w:val="008747FE"/>
    <w:rsid w:val="0087689C"/>
    <w:rsid w:val="0088151C"/>
    <w:rsid w:val="00884969"/>
    <w:rsid w:val="008855F9"/>
    <w:rsid w:val="008873FB"/>
    <w:rsid w:val="00891141"/>
    <w:rsid w:val="00896D9A"/>
    <w:rsid w:val="00897C3C"/>
    <w:rsid w:val="008A35C0"/>
    <w:rsid w:val="008A4ACD"/>
    <w:rsid w:val="008A4D32"/>
    <w:rsid w:val="008B3C8F"/>
    <w:rsid w:val="008B4C81"/>
    <w:rsid w:val="008B6A31"/>
    <w:rsid w:val="008C034D"/>
    <w:rsid w:val="008C4C93"/>
    <w:rsid w:val="008D41D3"/>
    <w:rsid w:val="008D6D15"/>
    <w:rsid w:val="008E06A0"/>
    <w:rsid w:val="008E505B"/>
    <w:rsid w:val="008F2BBF"/>
    <w:rsid w:val="008F2DB0"/>
    <w:rsid w:val="009005CA"/>
    <w:rsid w:val="00903647"/>
    <w:rsid w:val="00905DE7"/>
    <w:rsid w:val="009071AC"/>
    <w:rsid w:val="00915902"/>
    <w:rsid w:val="00916331"/>
    <w:rsid w:val="009237C3"/>
    <w:rsid w:val="0092582E"/>
    <w:rsid w:val="00930FD7"/>
    <w:rsid w:val="00931B73"/>
    <w:rsid w:val="009425FC"/>
    <w:rsid w:val="009467D2"/>
    <w:rsid w:val="00947CF4"/>
    <w:rsid w:val="00954A0C"/>
    <w:rsid w:val="009626FD"/>
    <w:rsid w:val="00967C58"/>
    <w:rsid w:val="00972976"/>
    <w:rsid w:val="00973ED4"/>
    <w:rsid w:val="00981A3E"/>
    <w:rsid w:val="00982913"/>
    <w:rsid w:val="009829EA"/>
    <w:rsid w:val="00986AEA"/>
    <w:rsid w:val="00991368"/>
    <w:rsid w:val="009A2E6C"/>
    <w:rsid w:val="009B50AD"/>
    <w:rsid w:val="009B7C71"/>
    <w:rsid w:val="009C10BF"/>
    <w:rsid w:val="009C1EE7"/>
    <w:rsid w:val="009C5CE5"/>
    <w:rsid w:val="009C6FF4"/>
    <w:rsid w:val="009D2455"/>
    <w:rsid w:val="009D30A7"/>
    <w:rsid w:val="009D3F62"/>
    <w:rsid w:val="009E2F1D"/>
    <w:rsid w:val="009E30F0"/>
    <w:rsid w:val="009F0EA7"/>
    <w:rsid w:val="009F4726"/>
    <w:rsid w:val="009F51E3"/>
    <w:rsid w:val="009F5866"/>
    <w:rsid w:val="00A02FED"/>
    <w:rsid w:val="00A03C1C"/>
    <w:rsid w:val="00A10B86"/>
    <w:rsid w:val="00A13130"/>
    <w:rsid w:val="00A16FE4"/>
    <w:rsid w:val="00A2088C"/>
    <w:rsid w:val="00A27113"/>
    <w:rsid w:val="00A30BFD"/>
    <w:rsid w:val="00A34295"/>
    <w:rsid w:val="00A42A2C"/>
    <w:rsid w:val="00A458BE"/>
    <w:rsid w:val="00A50DEC"/>
    <w:rsid w:val="00A60FE5"/>
    <w:rsid w:val="00A64198"/>
    <w:rsid w:val="00A646A7"/>
    <w:rsid w:val="00A755C3"/>
    <w:rsid w:val="00A76074"/>
    <w:rsid w:val="00A81E55"/>
    <w:rsid w:val="00A820ED"/>
    <w:rsid w:val="00A87838"/>
    <w:rsid w:val="00A91261"/>
    <w:rsid w:val="00A91C2E"/>
    <w:rsid w:val="00A954AB"/>
    <w:rsid w:val="00AA04BB"/>
    <w:rsid w:val="00AB3760"/>
    <w:rsid w:val="00AB3E0D"/>
    <w:rsid w:val="00AB78D2"/>
    <w:rsid w:val="00AC26EC"/>
    <w:rsid w:val="00AC4423"/>
    <w:rsid w:val="00AC5C69"/>
    <w:rsid w:val="00AD0A06"/>
    <w:rsid w:val="00AD1002"/>
    <w:rsid w:val="00AD3C9A"/>
    <w:rsid w:val="00AE0DE6"/>
    <w:rsid w:val="00AE157B"/>
    <w:rsid w:val="00AE331A"/>
    <w:rsid w:val="00B01583"/>
    <w:rsid w:val="00B03BF0"/>
    <w:rsid w:val="00B0522D"/>
    <w:rsid w:val="00B068CB"/>
    <w:rsid w:val="00B07E55"/>
    <w:rsid w:val="00B117D3"/>
    <w:rsid w:val="00B17531"/>
    <w:rsid w:val="00B262FB"/>
    <w:rsid w:val="00B317B5"/>
    <w:rsid w:val="00B3230A"/>
    <w:rsid w:val="00B40A3C"/>
    <w:rsid w:val="00B46ECB"/>
    <w:rsid w:val="00B54509"/>
    <w:rsid w:val="00B61133"/>
    <w:rsid w:val="00B61E0D"/>
    <w:rsid w:val="00B62641"/>
    <w:rsid w:val="00B62D0E"/>
    <w:rsid w:val="00B63DCA"/>
    <w:rsid w:val="00B644CE"/>
    <w:rsid w:val="00B66563"/>
    <w:rsid w:val="00B72D6B"/>
    <w:rsid w:val="00B76A50"/>
    <w:rsid w:val="00B76EA5"/>
    <w:rsid w:val="00B808B1"/>
    <w:rsid w:val="00B8090B"/>
    <w:rsid w:val="00B90E96"/>
    <w:rsid w:val="00B91EE7"/>
    <w:rsid w:val="00B925A2"/>
    <w:rsid w:val="00B927A6"/>
    <w:rsid w:val="00B9352C"/>
    <w:rsid w:val="00B95336"/>
    <w:rsid w:val="00B95E92"/>
    <w:rsid w:val="00B97CA8"/>
    <w:rsid w:val="00BA46EE"/>
    <w:rsid w:val="00BA5901"/>
    <w:rsid w:val="00BB01DB"/>
    <w:rsid w:val="00BB3440"/>
    <w:rsid w:val="00BB4475"/>
    <w:rsid w:val="00BB5637"/>
    <w:rsid w:val="00BB5B6D"/>
    <w:rsid w:val="00BC10A2"/>
    <w:rsid w:val="00BC2AA5"/>
    <w:rsid w:val="00BC3670"/>
    <w:rsid w:val="00BC3BA5"/>
    <w:rsid w:val="00BC7DE9"/>
    <w:rsid w:val="00BD032B"/>
    <w:rsid w:val="00BD397C"/>
    <w:rsid w:val="00BD446B"/>
    <w:rsid w:val="00BD5F83"/>
    <w:rsid w:val="00BE3780"/>
    <w:rsid w:val="00BE7ED4"/>
    <w:rsid w:val="00BF0AFA"/>
    <w:rsid w:val="00BF5132"/>
    <w:rsid w:val="00C007F3"/>
    <w:rsid w:val="00C00906"/>
    <w:rsid w:val="00C045FD"/>
    <w:rsid w:val="00C07128"/>
    <w:rsid w:val="00C27A4E"/>
    <w:rsid w:val="00C32F39"/>
    <w:rsid w:val="00C3418C"/>
    <w:rsid w:val="00C40DBF"/>
    <w:rsid w:val="00C41428"/>
    <w:rsid w:val="00C4254A"/>
    <w:rsid w:val="00C44FEA"/>
    <w:rsid w:val="00C501B2"/>
    <w:rsid w:val="00C62488"/>
    <w:rsid w:val="00C65AF6"/>
    <w:rsid w:val="00C66C97"/>
    <w:rsid w:val="00C6750D"/>
    <w:rsid w:val="00C837FD"/>
    <w:rsid w:val="00CA2F32"/>
    <w:rsid w:val="00CB2E6D"/>
    <w:rsid w:val="00CB6ABB"/>
    <w:rsid w:val="00CB7735"/>
    <w:rsid w:val="00CC1F48"/>
    <w:rsid w:val="00CC42E7"/>
    <w:rsid w:val="00CC5346"/>
    <w:rsid w:val="00CC5437"/>
    <w:rsid w:val="00CD21CF"/>
    <w:rsid w:val="00CD68BF"/>
    <w:rsid w:val="00CD7A0D"/>
    <w:rsid w:val="00CE3833"/>
    <w:rsid w:val="00CE3BBC"/>
    <w:rsid w:val="00CE4878"/>
    <w:rsid w:val="00CE664F"/>
    <w:rsid w:val="00D018A2"/>
    <w:rsid w:val="00D05DC3"/>
    <w:rsid w:val="00D11A36"/>
    <w:rsid w:val="00D12633"/>
    <w:rsid w:val="00D139FD"/>
    <w:rsid w:val="00D14AF4"/>
    <w:rsid w:val="00D16AE8"/>
    <w:rsid w:val="00D175CB"/>
    <w:rsid w:val="00D17633"/>
    <w:rsid w:val="00D335E0"/>
    <w:rsid w:val="00D35E4A"/>
    <w:rsid w:val="00D4557D"/>
    <w:rsid w:val="00D47881"/>
    <w:rsid w:val="00D53F50"/>
    <w:rsid w:val="00D54FAA"/>
    <w:rsid w:val="00D5730D"/>
    <w:rsid w:val="00D628FE"/>
    <w:rsid w:val="00D6482A"/>
    <w:rsid w:val="00D724DB"/>
    <w:rsid w:val="00D761BE"/>
    <w:rsid w:val="00D816F4"/>
    <w:rsid w:val="00D82F88"/>
    <w:rsid w:val="00D833B4"/>
    <w:rsid w:val="00D8484B"/>
    <w:rsid w:val="00D87805"/>
    <w:rsid w:val="00D942EC"/>
    <w:rsid w:val="00D95DEA"/>
    <w:rsid w:val="00D9663C"/>
    <w:rsid w:val="00DA5D26"/>
    <w:rsid w:val="00DA7186"/>
    <w:rsid w:val="00DA762B"/>
    <w:rsid w:val="00DB05AF"/>
    <w:rsid w:val="00DB5DBF"/>
    <w:rsid w:val="00DB6C6E"/>
    <w:rsid w:val="00DB7EB4"/>
    <w:rsid w:val="00DC09D5"/>
    <w:rsid w:val="00DC4E62"/>
    <w:rsid w:val="00DD55E3"/>
    <w:rsid w:val="00DD5F9A"/>
    <w:rsid w:val="00DE07FA"/>
    <w:rsid w:val="00DE17E0"/>
    <w:rsid w:val="00DE19DB"/>
    <w:rsid w:val="00DE47E9"/>
    <w:rsid w:val="00DF4070"/>
    <w:rsid w:val="00E03200"/>
    <w:rsid w:val="00E04274"/>
    <w:rsid w:val="00E07042"/>
    <w:rsid w:val="00E105F5"/>
    <w:rsid w:val="00E12B65"/>
    <w:rsid w:val="00E15F6B"/>
    <w:rsid w:val="00E162BB"/>
    <w:rsid w:val="00E213B3"/>
    <w:rsid w:val="00E32103"/>
    <w:rsid w:val="00E32DAF"/>
    <w:rsid w:val="00E34D14"/>
    <w:rsid w:val="00E35FFC"/>
    <w:rsid w:val="00E44E72"/>
    <w:rsid w:val="00E477C7"/>
    <w:rsid w:val="00E47B26"/>
    <w:rsid w:val="00E63B79"/>
    <w:rsid w:val="00E67085"/>
    <w:rsid w:val="00E678D0"/>
    <w:rsid w:val="00E71EC7"/>
    <w:rsid w:val="00E721E1"/>
    <w:rsid w:val="00E779BE"/>
    <w:rsid w:val="00E877B0"/>
    <w:rsid w:val="00E87CD1"/>
    <w:rsid w:val="00E925EF"/>
    <w:rsid w:val="00E94EBF"/>
    <w:rsid w:val="00E9613C"/>
    <w:rsid w:val="00E96A71"/>
    <w:rsid w:val="00E97A5E"/>
    <w:rsid w:val="00EA24A0"/>
    <w:rsid w:val="00EA7300"/>
    <w:rsid w:val="00EB18DB"/>
    <w:rsid w:val="00EB2CDB"/>
    <w:rsid w:val="00EB5580"/>
    <w:rsid w:val="00EC0EE8"/>
    <w:rsid w:val="00EC6545"/>
    <w:rsid w:val="00EC7768"/>
    <w:rsid w:val="00ED0742"/>
    <w:rsid w:val="00ED1A32"/>
    <w:rsid w:val="00ED3AEC"/>
    <w:rsid w:val="00ED3C6F"/>
    <w:rsid w:val="00EE133C"/>
    <w:rsid w:val="00EE3987"/>
    <w:rsid w:val="00EE3CF5"/>
    <w:rsid w:val="00EE4055"/>
    <w:rsid w:val="00EE4853"/>
    <w:rsid w:val="00EF009F"/>
    <w:rsid w:val="00F005B6"/>
    <w:rsid w:val="00F0337D"/>
    <w:rsid w:val="00F05390"/>
    <w:rsid w:val="00F0733F"/>
    <w:rsid w:val="00F14B29"/>
    <w:rsid w:val="00F175DE"/>
    <w:rsid w:val="00F239C6"/>
    <w:rsid w:val="00F25216"/>
    <w:rsid w:val="00F32594"/>
    <w:rsid w:val="00F439D2"/>
    <w:rsid w:val="00F46A80"/>
    <w:rsid w:val="00F50C96"/>
    <w:rsid w:val="00F51ECC"/>
    <w:rsid w:val="00F5266E"/>
    <w:rsid w:val="00F613AB"/>
    <w:rsid w:val="00F70A1F"/>
    <w:rsid w:val="00F74020"/>
    <w:rsid w:val="00F74F6C"/>
    <w:rsid w:val="00F75449"/>
    <w:rsid w:val="00F80A38"/>
    <w:rsid w:val="00F86274"/>
    <w:rsid w:val="00F912FD"/>
    <w:rsid w:val="00F93C54"/>
    <w:rsid w:val="00F9553A"/>
    <w:rsid w:val="00F97644"/>
    <w:rsid w:val="00FA0914"/>
    <w:rsid w:val="00FA271E"/>
    <w:rsid w:val="00FA2BCE"/>
    <w:rsid w:val="00FA2FFF"/>
    <w:rsid w:val="00FA3D8D"/>
    <w:rsid w:val="00FA7031"/>
    <w:rsid w:val="00FB4183"/>
    <w:rsid w:val="00FC5475"/>
    <w:rsid w:val="00FC6DAB"/>
    <w:rsid w:val="00FD1981"/>
    <w:rsid w:val="00FD4B2A"/>
    <w:rsid w:val="00FD50BA"/>
    <w:rsid w:val="00FE0750"/>
    <w:rsid w:val="00FE13FE"/>
    <w:rsid w:val="00FE1FBC"/>
    <w:rsid w:val="00FF270F"/>
    <w:rsid w:val="00FF60E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49538D"/>
  <w14:defaultImageDpi w14:val="32767"/>
  <w15:docId w15:val="{E3A3F505-B7B1-42EB-90B3-6A50BFE6F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195963"/>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outlineLvl w:val="0"/>
    </w:pPr>
    <w:rPr>
      <w:b/>
      <w:caps/>
    </w:rPr>
  </w:style>
  <w:style w:type="paragraph" w:styleId="BodyText">
    <w:name w:val="Body Text"/>
    <w:aliases w:val="B&amp;B Body Text"/>
    <w:basedOn w:val="Normal"/>
    <w:link w:val="BodyTextChar"/>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style>
  <w:style w:type="paragraph" w:customStyle="1" w:styleId="BBClause3">
    <w:name w:val="B&amp;B Clause 3"/>
    <w:basedOn w:val="BodyText"/>
    <w:uiPriority w:val="29"/>
    <w:qFormat/>
    <w:rsid w:val="00BF0AFA"/>
  </w:style>
  <w:style w:type="paragraph" w:customStyle="1" w:styleId="BBClause4">
    <w:name w:val="B&amp;B Clause 4"/>
    <w:basedOn w:val="BodyText"/>
    <w:uiPriority w:val="29"/>
    <w:qFormat/>
    <w:rsid w:val="00BF0AFA"/>
  </w:style>
  <w:style w:type="paragraph" w:customStyle="1" w:styleId="BBClause5">
    <w:name w:val="B&amp;B Clause 5"/>
    <w:basedOn w:val="BodyText"/>
    <w:uiPriority w:val="29"/>
    <w:rsid w:val="00BF0AFA"/>
  </w:style>
  <w:style w:type="paragraph" w:customStyle="1" w:styleId="BBClause6">
    <w:name w:val="B&amp;B Clause 6"/>
    <w:basedOn w:val="BodyText"/>
    <w:uiPriority w:val="29"/>
    <w:rsid w:val="00BF0AFA"/>
  </w:style>
  <w:style w:type="paragraph" w:customStyle="1" w:styleId="BBClause7">
    <w:name w:val="B&amp;B Clause 7"/>
    <w:basedOn w:val="BodyText"/>
    <w:uiPriority w:val="29"/>
    <w:rsid w:val="00BF0AFA"/>
  </w:style>
  <w:style w:type="paragraph" w:customStyle="1" w:styleId="BBClause8">
    <w:name w:val="B&amp;B Clause 8"/>
    <w:basedOn w:val="BodyText"/>
    <w:uiPriority w:val="29"/>
    <w:rsid w:val="00BF0AFA"/>
  </w:style>
  <w:style w:type="paragraph" w:customStyle="1" w:styleId="BBClause9">
    <w:name w:val="B&amp;B Clause 9"/>
    <w:basedOn w:val="BodyText"/>
    <w:uiPriority w:val="29"/>
    <w:rsid w:val="00BF0AFA"/>
  </w:style>
  <w:style w:type="paragraph" w:customStyle="1" w:styleId="BBScheduleHeading1">
    <w:name w:val="B&amp;B Schedule Heading 1"/>
    <w:basedOn w:val="BodyText"/>
    <w:next w:val="BBBodyTextIndent1"/>
    <w:uiPriority w:val="49"/>
    <w:rsid w:val="00BF0AFA"/>
    <w:pPr>
      <w:keepNext/>
      <w:numPr>
        <w:numId w:val="12"/>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0D3DA9"/>
    <w:pPr>
      <w:keepNext/>
      <w:pageBreakBefore/>
      <w:numPr>
        <w:numId w:val="11"/>
      </w:numPr>
      <w:ind w:left="-284" w:firstLine="710"/>
      <w:jc w:val="center"/>
    </w:pPr>
    <w:rPr>
      <w:b/>
      <w:szCs w:val="22"/>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1D101D"/>
    <w:rPr>
      <w:b w:val="0"/>
    </w:rPr>
  </w:style>
  <w:style w:type="paragraph" w:customStyle="1" w:styleId="BBSchedule2">
    <w:name w:val="B&amp;B Schedule 2"/>
    <w:basedOn w:val="BodyText"/>
    <w:uiPriority w:val="59"/>
    <w:rsid w:val="00BF0AFA"/>
    <w:pPr>
      <w:numPr>
        <w:ilvl w:val="1"/>
        <w:numId w:val="12"/>
      </w:numPr>
    </w:pPr>
  </w:style>
  <w:style w:type="paragraph" w:customStyle="1" w:styleId="BBSchedule3">
    <w:name w:val="B&amp;B Schedule 3"/>
    <w:basedOn w:val="BodyText"/>
    <w:uiPriority w:val="59"/>
    <w:rsid w:val="00BF0AFA"/>
    <w:pPr>
      <w:numPr>
        <w:ilvl w:val="2"/>
        <w:numId w:val="12"/>
      </w:numPr>
    </w:pPr>
  </w:style>
  <w:style w:type="paragraph" w:customStyle="1" w:styleId="BBSchedule5">
    <w:name w:val="B&amp;B Schedule 5"/>
    <w:basedOn w:val="BodyText"/>
    <w:uiPriority w:val="59"/>
    <w:rsid w:val="00BF0AFA"/>
    <w:pPr>
      <w:numPr>
        <w:ilvl w:val="4"/>
        <w:numId w:val="12"/>
      </w:numPr>
    </w:pPr>
  </w:style>
  <w:style w:type="paragraph" w:customStyle="1" w:styleId="BBSchedule6">
    <w:name w:val="B&amp;B Schedule 6"/>
    <w:basedOn w:val="BodyText"/>
    <w:uiPriority w:val="59"/>
    <w:rsid w:val="00BF0AFA"/>
    <w:pPr>
      <w:numPr>
        <w:ilvl w:val="5"/>
        <w:numId w:val="12"/>
      </w:numPr>
    </w:pPr>
  </w:style>
  <w:style w:type="paragraph" w:customStyle="1" w:styleId="BBSchedule7">
    <w:name w:val="B&amp;B Schedule 7"/>
    <w:basedOn w:val="BodyText"/>
    <w:uiPriority w:val="59"/>
    <w:rsid w:val="00BF0AFA"/>
    <w:pPr>
      <w:numPr>
        <w:ilvl w:val="6"/>
        <w:numId w:val="12"/>
      </w:numPr>
    </w:pPr>
  </w:style>
  <w:style w:type="paragraph" w:customStyle="1" w:styleId="BBSchedule8">
    <w:name w:val="B&amp;B Schedule 8"/>
    <w:basedOn w:val="BodyText"/>
    <w:uiPriority w:val="59"/>
    <w:rsid w:val="00BF0AFA"/>
    <w:pPr>
      <w:numPr>
        <w:ilvl w:val="7"/>
        <w:numId w:val="12"/>
      </w:numPr>
    </w:pPr>
  </w:style>
  <w:style w:type="paragraph" w:customStyle="1" w:styleId="BBSchedule9">
    <w:name w:val="B&amp;B Schedule 9"/>
    <w:basedOn w:val="BodyText"/>
    <w:uiPriority w:val="59"/>
    <w:rsid w:val="00BF0AFA"/>
    <w:pPr>
      <w:numPr>
        <w:ilvl w:val="8"/>
        <w:numId w:val="12"/>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rsid w:val="00BF0AFA"/>
    <w:pPr>
      <w:numPr>
        <w:ilvl w:val="3"/>
        <w:numId w:val="12"/>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BE3780"/>
    <w:pPr>
      <w:tabs>
        <w:tab w:val="left" w:pos="720"/>
        <w:tab w:val="right" w:leader="dot" w:pos="8998"/>
      </w:tabs>
      <w:spacing w:after="100"/>
    </w:p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2A5913"/>
    <w:pPr>
      <w:tabs>
        <w:tab w:val="left" w:pos="720"/>
        <w:tab w:val="right" w:leader="dot" w:pos="9000"/>
      </w:tabs>
      <w:spacing w:after="240"/>
    </w:pPr>
    <w:rPr>
      <w:rFonts w:eastAsia="Times New Roman"/>
      <w:noProof/>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rsid w:val="002A5913"/>
    <w:pPr>
      <w:numPr>
        <w:numId w:val="4"/>
      </w:numPr>
    </w:p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rsid w:val="002A5913"/>
    <w:rPr>
      <w:b/>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paragraph" w:customStyle="1" w:styleId="BBDefinitionLevel1">
    <w:name w:val="B&amp;B Definition Level 1"/>
    <w:basedOn w:val="BBClause4"/>
    <w:uiPriority w:val="99"/>
    <w:qFormat/>
    <w:rsid w:val="00BB01DB"/>
    <w:pPr>
      <w:numPr>
        <w:ilvl w:val="1"/>
        <w:numId w:val="9"/>
      </w:numPr>
    </w:pPr>
  </w:style>
  <w:style w:type="paragraph" w:customStyle="1" w:styleId="BBDefinitionLevel2">
    <w:name w:val="B&amp;B Definition Level 2"/>
    <w:basedOn w:val="BBClause4"/>
    <w:uiPriority w:val="99"/>
    <w:qFormat/>
    <w:rsid w:val="00BB01DB"/>
    <w:pPr>
      <w:numPr>
        <w:ilvl w:val="2"/>
        <w:numId w:val="9"/>
      </w:numPr>
    </w:pPr>
  </w:style>
  <w:style w:type="paragraph" w:customStyle="1" w:styleId="BBDefinition">
    <w:name w:val="B&amp;B Definition"/>
    <w:basedOn w:val="BBClause4"/>
    <w:uiPriority w:val="99"/>
    <w:qFormat/>
    <w:rsid w:val="000C7E74"/>
    <w:pPr>
      <w:numPr>
        <w:numId w:val="9"/>
      </w:numPr>
    </w:pPr>
  </w:style>
  <w:style w:type="paragraph" w:customStyle="1" w:styleId="BBParties">
    <w:name w:val="B&amp;B Parties"/>
    <w:basedOn w:val="PartiesNumbering"/>
    <w:uiPriority w:val="99"/>
    <w:qFormat/>
    <w:rsid w:val="003F77E1"/>
    <w:rPr>
      <w:szCs w:val="22"/>
    </w:rPr>
  </w:style>
  <w:style w:type="paragraph" w:customStyle="1" w:styleId="BBRecitals">
    <w:name w:val="B&amp;B Recitals"/>
    <w:basedOn w:val="RecitalsNumbering"/>
    <w:uiPriority w:val="99"/>
    <w:qFormat/>
    <w:rsid w:val="0042453B"/>
    <w:pPr>
      <w:numPr>
        <w:numId w:val="10"/>
      </w:numPr>
    </w:pPr>
  </w:style>
  <w:style w:type="paragraph" w:customStyle="1" w:styleId="Part">
    <w:name w:val="Part"/>
    <w:basedOn w:val="Normal"/>
    <w:uiPriority w:val="99"/>
    <w:qFormat/>
    <w:rsid w:val="00B317B5"/>
    <w:rPr>
      <w:sz w:val="22"/>
      <w:szCs w:val="22"/>
    </w:rPr>
  </w:style>
  <w:style w:type="paragraph" w:customStyle="1" w:styleId="Schedule-Part">
    <w:name w:val="Schedule - Part"/>
    <w:basedOn w:val="Part"/>
    <w:uiPriority w:val="99"/>
    <w:qFormat/>
    <w:rsid w:val="001D0D06"/>
  </w:style>
  <w:style w:type="paragraph" w:styleId="Revision">
    <w:name w:val="Revision"/>
    <w:hidden/>
    <w:uiPriority w:val="99"/>
    <w:semiHidden/>
    <w:rsid w:val="00E162BB"/>
  </w:style>
  <w:style w:type="character" w:styleId="CommentReference">
    <w:name w:val="annotation reference"/>
    <w:basedOn w:val="DefaultParagraphFont"/>
    <w:uiPriority w:val="99"/>
    <w:semiHidden/>
    <w:unhideWhenUsed/>
    <w:rsid w:val="006C6E7F"/>
    <w:rPr>
      <w:sz w:val="16"/>
      <w:szCs w:val="16"/>
    </w:rPr>
  </w:style>
  <w:style w:type="paragraph" w:styleId="CommentText">
    <w:name w:val="annotation text"/>
    <w:basedOn w:val="Normal"/>
    <w:link w:val="CommentTextChar"/>
    <w:uiPriority w:val="99"/>
    <w:unhideWhenUsed/>
    <w:rsid w:val="006C6E7F"/>
  </w:style>
  <w:style w:type="character" w:customStyle="1" w:styleId="CommentTextChar">
    <w:name w:val="Comment Text Char"/>
    <w:basedOn w:val="DefaultParagraphFont"/>
    <w:link w:val="CommentText"/>
    <w:uiPriority w:val="99"/>
    <w:rsid w:val="006C6E7F"/>
  </w:style>
  <w:style w:type="paragraph" w:styleId="CommentSubject">
    <w:name w:val="annotation subject"/>
    <w:basedOn w:val="CommentText"/>
    <w:next w:val="CommentText"/>
    <w:link w:val="CommentSubjectChar"/>
    <w:uiPriority w:val="99"/>
    <w:semiHidden/>
    <w:unhideWhenUsed/>
    <w:rsid w:val="006C6E7F"/>
    <w:rPr>
      <w:b/>
      <w:bCs/>
    </w:rPr>
  </w:style>
  <w:style w:type="character" w:customStyle="1" w:styleId="CommentSubjectChar">
    <w:name w:val="Comment Subject Char"/>
    <w:basedOn w:val="CommentTextChar"/>
    <w:link w:val="CommentSubject"/>
    <w:uiPriority w:val="99"/>
    <w:semiHidden/>
    <w:rsid w:val="006C6E7F"/>
    <w:rPr>
      <w:b/>
      <w:bCs/>
    </w:rPr>
  </w:style>
  <w:style w:type="character" w:customStyle="1" w:styleId="Defterm">
    <w:name w:val="Defterm"/>
    <w:rsid w:val="004E1906"/>
    <w:rPr>
      <w:rFonts w:ascii="Georgia" w:hAnsi="Georgia"/>
      <w:b/>
      <w:color w:val="000000"/>
      <w:sz w:val="22"/>
    </w:rPr>
  </w:style>
  <w:style w:type="paragraph" w:styleId="ListParagraph">
    <w:name w:val="List Paragraph"/>
    <w:basedOn w:val="Normal"/>
    <w:uiPriority w:val="99"/>
    <w:qFormat/>
    <w:rsid w:val="00E47B26"/>
    <w:pPr>
      <w:ind w:left="720"/>
      <w:contextualSpacing/>
    </w:pPr>
  </w:style>
  <w:style w:type="paragraph" w:styleId="FootnoteText">
    <w:name w:val="footnote text"/>
    <w:basedOn w:val="Normal"/>
    <w:link w:val="FootnoteTextChar"/>
    <w:uiPriority w:val="99"/>
    <w:semiHidden/>
    <w:unhideWhenUsed/>
    <w:rsid w:val="00B9352C"/>
  </w:style>
  <w:style w:type="character" w:customStyle="1" w:styleId="FootnoteTextChar">
    <w:name w:val="Footnote Text Char"/>
    <w:basedOn w:val="DefaultParagraphFont"/>
    <w:link w:val="FootnoteText"/>
    <w:uiPriority w:val="99"/>
    <w:semiHidden/>
    <w:rsid w:val="00B9352C"/>
  </w:style>
  <w:style w:type="character" w:styleId="FootnoteReference">
    <w:name w:val="footnote reference"/>
    <w:basedOn w:val="DefaultParagraphFont"/>
    <w:uiPriority w:val="99"/>
    <w:semiHidden/>
    <w:unhideWhenUsed/>
    <w:rsid w:val="00B9352C"/>
    <w:rPr>
      <w:vertAlign w:val="superscript"/>
    </w:rPr>
  </w:style>
  <w:style w:type="paragraph" w:styleId="NormalWeb">
    <w:name w:val="Normal (Web)"/>
    <w:basedOn w:val="Normal"/>
    <w:uiPriority w:val="99"/>
    <w:semiHidden/>
    <w:unhideWhenUsed/>
    <w:rsid w:val="007C1C9E"/>
    <w:pPr>
      <w:spacing w:before="100" w:beforeAutospacing="1" w:after="100" w:afterAutospacing="1"/>
    </w:pPr>
    <w:rPr>
      <w:rFonts w:ascii="Times New Roman" w:eastAsia="Times New Roman" w:hAnsi="Times New Roman"/>
      <w:sz w:val="24"/>
      <w:szCs w:val="24"/>
      <w:lang w:eastAsia="en-GB"/>
    </w:rPr>
  </w:style>
  <w:style w:type="character" w:styleId="Strong">
    <w:name w:val="Strong"/>
    <w:basedOn w:val="DefaultParagraphFont"/>
    <w:uiPriority w:val="22"/>
    <w:qFormat/>
    <w:rsid w:val="007C1C9E"/>
    <w:rPr>
      <w:b/>
      <w:bCs/>
    </w:rPr>
  </w:style>
  <w:style w:type="paragraph" w:customStyle="1" w:styleId="DefinitionClause">
    <w:name w:val="Definition Clause"/>
    <w:basedOn w:val="BBBodyTextIndent1"/>
    <w:uiPriority w:val="99"/>
    <w:qFormat/>
    <w:rsid w:val="009425FC"/>
    <w:pPr>
      <w:numPr>
        <w:numId w:val="18"/>
      </w:numPr>
    </w:pPr>
  </w:style>
  <w:style w:type="paragraph" w:customStyle="1" w:styleId="DefinitionClauseNumbering">
    <w:name w:val="Definition Clause Numbering"/>
    <w:basedOn w:val="DefinitionClause"/>
    <w:uiPriority w:val="99"/>
    <w:qFormat/>
    <w:rsid w:val="009425FC"/>
    <w:pPr>
      <w:numPr>
        <w:ilvl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numbering" Target="numbering.xml"/><Relationship Id="rId21"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customXml" Target="../customXml/item5.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customXml" Target="../customXml/item4.xml"/></Relationships>
</file>

<file path=word/_rels/footer3.xml.rels><?xml version="1.0" encoding="UTF-8" standalone="yes"?>
<Relationships xmlns="http://schemas.openxmlformats.org/package/2006/relationships"><Relationship Id="rId2" Type="http://schemas.openxmlformats.org/officeDocument/2006/relationships/hyperlink" Target="http://www.twobirds.com"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4B5E080-164F-46B8-9C7B-8A36180EB36A}">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2.xml><?xml version="1.0" encoding="utf-8"?>
<b:Sources xmlns:b="http://schemas.openxmlformats.org/officeDocument/2006/bibliography" xmlns="http://schemas.openxmlformats.org/officeDocument/2006/bibliography" SelectedStyle="\GB.XSL" StyleName="GB7714"/>
</file>

<file path=customXml/item3.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AK2ZMWYHZNRD-2128999959-2735</_dlc_DocId>
    <_dlc_DocIdUrl xmlns="a213c276-2966-4a61-88a3-9acec9d9c2c2">
      <Url>https://beisgov.sharepoint.com/sites/GBECompany-EXT-OS-GBELocal/_layouts/15/DocIdRedir.aspx?ID=AK2ZMWYHZNRD-2128999959-2735</Url>
      <Description>AK2ZMWYHZNRD-2128999959-2735</Description>
    </_dlc_DocIdUrl>
  </documentManagement>
</p:properties>
</file>

<file path=customXml/itemProps1.xml><?xml version="1.0" encoding="utf-8"?>
<ds:datastoreItem xmlns:ds="http://schemas.openxmlformats.org/officeDocument/2006/customXml" ds:itemID="{C4DC161C-AD06-46A2-B5FD-A4E2BF8D9A6A}">
  <ds:schemaRefs>
    <ds:schemaRef ds:uri="http://schemas.microsoft.com/office/2006/customDocumentInformationPanel"/>
  </ds:schemaRefs>
</ds:datastoreItem>
</file>

<file path=customXml/itemProps2.xml><?xml version="1.0" encoding="utf-8"?>
<ds:datastoreItem xmlns:ds="http://schemas.openxmlformats.org/officeDocument/2006/customXml" ds:itemID="{CC2926DF-51BF-4767-B7CD-5658E753CC64}">
  <ds:schemaRefs>
    <ds:schemaRef ds:uri="http://schemas.openxmlformats.org/officeDocument/2006/bibliography"/>
  </ds:schemaRefs>
</ds:datastoreItem>
</file>

<file path=customXml/itemProps3.xml><?xml version="1.0" encoding="utf-8"?>
<ds:datastoreItem xmlns:ds="http://schemas.openxmlformats.org/officeDocument/2006/customXml" ds:itemID="{0BB2D24F-12BD-413E-9D6D-0CD37770BBED}"/>
</file>

<file path=customXml/itemProps4.xml><?xml version="1.0" encoding="utf-8"?>
<ds:datastoreItem xmlns:ds="http://schemas.openxmlformats.org/officeDocument/2006/customXml" ds:itemID="{6EFD10A8-9C5E-40A0-A85E-AC6F195FDE03}"/>
</file>

<file path=customXml/itemProps5.xml><?xml version="1.0" encoding="utf-8"?>
<ds:datastoreItem xmlns:ds="http://schemas.openxmlformats.org/officeDocument/2006/customXml" ds:itemID="{1848865D-ABE7-48FB-9C27-53732B45961F}"/>
</file>

<file path=customXml/itemProps6.xml><?xml version="1.0" encoding="utf-8"?>
<ds:datastoreItem xmlns:ds="http://schemas.openxmlformats.org/officeDocument/2006/customXml" ds:itemID="{2902C695-CDBE-4B77-A4EA-567F291D3EB4}"/>
</file>

<file path=docMetadata/LabelInfo.xml><?xml version="1.0" encoding="utf-8"?>
<clbl:labelList xmlns:clbl="http://schemas.microsoft.com/office/2020/mipLabelMetadata">
  <clbl:label id="{a1cb8a79-a344-4336-9925-391266c2293c}" enabled="0" method="" siteId="{a1cb8a79-a344-4336-9925-391266c2293c}" removed="1"/>
</clbl:labelList>
</file>

<file path=docProps/app.xml><?xml version="1.0" encoding="utf-8"?>
<Properties xmlns="http://schemas.openxmlformats.org/officeDocument/2006/extended-properties" xmlns:vt="http://schemas.openxmlformats.org/officeDocument/2006/docPropsVTypes">
  <Template>Agreement Template.dotx</Template>
  <TotalTime>1</TotalTime>
  <Pages>18</Pages>
  <Words>6976</Words>
  <Characters>34327</Characters>
  <Application>Microsoft Office Word</Application>
  <DocSecurity>0</DocSecurity>
  <Lines>1144</Lines>
  <Paragraphs>565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Bird and Bird</dc:creator>
  <cp:lastModifiedBy>Rory Keenan</cp:lastModifiedBy>
  <cp:revision>2</cp:revision>
  <cp:lastPrinted>2013-04-23T14:29:00Z</cp:lastPrinted>
  <dcterms:created xsi:type="dcterms:W3CDTF">2026-04-10T16:51:00Z</dcterms:created>
  <dcterms:modified xsi:type="dcterms:W3CDTF">2026-04-10T16:51:00Z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GrammarlyDocumentId">
    <vt:lpwstr>42598ea1-cef2-4c88-8c9d-e57b9778d50a</vt:lpwstr>
  </property>
  <property fmtid="{D5CDD505-2E9C-101B-9397-08002B2CF9AE}" pid="6" name="BBIManageDocNumber">
    <vt:lpwstr>93124084</vt:lpwstr>
  </property>
  <property fmtid="{D5CDD505-2E9C-101B-9397-08002B2CF9AE}" pid="7" name="BBIManageDocVersion">
    <vt:lpwstr>8</vt:lpwstr>
  </property>
  <property fmtid="{D5CDD505-2E9C-101B-9397-08002B2CF9AE}" pid="8" name="BBIManageDocWorkspace">
    <vt:lpwstr>ENEBY.0002 - GB Energy Community Energy</vt:lpwstr>
  </property>
  <property fmtid="{D5CDD505-2E9C-101B-9397-08002B2CF9AE}" pid="9" name="BBIManageDocClient">
    <vt:lpwstr>ENEBY</vt:lpwstr>
  </property>
  <property fmtid="{D5CDD505-2E9C-101B-9397-08002B2CF9AE}" pid="10" name="BBIManageDocMatter">
    <vt:lpwstr>0002</vt:lpwstr>
  </property>
  <property fmtid="{D5CDD505-2E9C-101B-9397-08002B2CF9AE}" pid="11" name="BBIManageDocLibrary">
    <vt:lpwstr>Matters</vt:lpwstr>
  </property>
  <property fmtid="{D5CDD505-2E9C-101B-9397-08002B2CF9AE}" pid="12" name="BBIManageDocDescription">
    <vt:lpwstr>GBE - Guidance for Facility Agreement (Shared Revenue) (BB Draft 10.04.2026)</vt:lpwstr>
  </property>
  <property fmtid="{D5CDD505-2E9C-101B-9397-08002B2CF9AE}" pid="13" name="BBIManageDocFolder">
    <vt:lpwstr>ENEBY.0002 - GB Energy Community Energy\Agreements\Finance\</vt:lpwstr>
  </property>
  <property fmtid="{D5CDD505-2E9C-101B-9397-08002B2CF9AE}" pid="14" name="BBDocRef">
    <vt:lpwstr>Matters\93124084.8</vt:lpwstr>
  </property>
  <property fmtid="{D5CDD505-2E9C-101B-9397-08002B2CF9AE}" pid="15" name="ContentTypeId">
    <vt:lpwstr>0x0101004691A8DE0991884F8E90AD6474FC737301003430BDA54C0C6947AD5510ED8D961E8E</vt:lpwstr>
  </property>
  <property fmtid="{D5CDD505-2E9C-101B-9397-08002B2CF9AE}" pid="16" name="KIM_Activity">
    <vt:lpwstr>2;#Great British Energy|0d77f157-adc3-5de6-7e9a-e68b46a048d3</vt:lpwstr>
  </property>
  <property fmtid="{D5CDD505-2E9C-101B-9397-08002B2CF9AE}" pid="17" name="_dlc_DocIdItemGuid">
    <vt:lpwstr>13c05150-e439-4e21-8a63-c16ebff603cd</vt:lpwstr>
  </property>
  <property fmtid="{D5CDD505-2E9C-101B-9397-08002B2CF9AE}" pid="18" name="KIM_GovernmentBody">
    <vt:lpwstr>3;#DESNZ|bb335eaf-f697-16af-0755-aa8d4628e736</vt:lpwstr>
  </property>
  <property fmtid="{D5CDD505-2E9C-101B-9397-08002B2CF9AE}" pid="19" name="KIM_Function">
    <vt:lpwstr>1;#Partner organisations|3e29f963-82a5-72a9-6184-d34c0a7bb26f</vt:lpwstr>
  </property>
  <property fmtid="{D5CDD505-2E9C-101B-9397-08002B2CF9AE}" pid="21" name="docLang">
    <vt:lpwstr>en</vt:lpwstr>
  </property>
</Properties>
</file>