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numbering.xml" ContentType="application/vnd.openxmlformats-officedocument.wordprocessingml.numbering+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8CF57" w14:textId="77777777" w:rsidR="00BB52C6" w:rsidRDefault="00BB52C6" w:rsidP="002A5913">
      <w:pPr>
        <w:pStyle w:val="BodyText"/>
        <w:jc w:val="center"/>
        <w:rPr>
          <w:szCs w:val="22"/>
        </w:rPr>
      </w:pPr>
    </w:p>
    <w:p w14:paraId="192F71F7" w14:textId="77777777" w:rsidR="00BB52C6" w:rsidRDefault="00BB52C6" w:rsidP="002A5913">
      <w:pPr>
        <w:pStyle w:val="BodyText"/>
        <w:jc w:val="center"/>
        <w:rPr>
          <w:szCs w:val="22"/>
        </w:rPr>
      </w:pPr>
    </w:p>
    <w:p w14:paraId="7A7F0577" w14:textId="77777777" w:rsidR="00BB52C6" w:rsidRDefault="00BB52C6" w:rsidP="002A5913">
      <w:pPr>
        <w:pStyle w:val="BodyText"/>
        <w:jc w:val="center"/>
        <w:rPr>
          <w:szCs w:val="22"/>
        </w:rPr>
      </w:pPr>
    </w:p>
    <w:p w14:paraId="3D6BDF56" w14:textId="4C33CE52" w:rsidR="00A30BFD" w:rsidRPr="007C1E3C" w:rsidRDefault="00873C55" w:rsidP="002A5913">
      <w:pPr>
        <w:pStyle w:val="BodyText"/>
        <w:jc w:val="center"/>
        <w:rPr>
          <w:szCs w:val="22"/>
        </w:rPr>
      </w:pPr>
      <w:r w:rsidRPr="007C1E3C">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7C1E3C" w:rsidRDefault="00B95336" w:rsidP="002A5913">
      <w:pPr>
        <w:pStyle w:val="BodyText"/>
        <w:jc w:val="center"/>
        <w:rPr>
          <w:szCs w:val="22"/>
        </w:rPr>
      </w:pPr>
    </w:p>
    <w:p w14:paraId="79D6F4F7" w14:textId="77777777" w:rsidR="002A5913" w:rsidRPr="007C1E3C" w:rsidRDefault="002A5913" w:rsidP="002A5913">
      <w:pPr>
        <w:pStyle w:val="BodyText"/>
        <w:jc w:val="center"/>
        <w:rPr>
          <w:szCs w:val="22"/>
        </w:rPr>
      </w:pPr>
    </w:p>
    <w:p w14:paraId="46808E62" w14:textId="77777777" w:rsidR="002A5913" w:rsidRPr="007C1E3C" w:rsidRDefault="002A5913" w:rsidP="002A5913">
      <w:pPr>
        <w:pStyle w:val="BodyText"/>
        <w:jc w:val="center"/>
        <w:rPr>
          <w:szCs w:val="22"/>
        </w:rPr>
      </w:pPr>
    </w:p>
    <w:p w14:paraId="4CE319BF" w14:textId="77777777" w:rsidR="002A5913" w:rsidRPr="007C1E3C" w:rsidRDefault="002A5913" w:rsidP="002A5913">
      <w:pPr>
        <w:pStyle w:val="BodyText"/>
        <w:pBdr>
          <w:top w:val="single" w:sz="4" w:space="1" w:color="auto"/>
        </w:pBdr>
        <w:ind w:left="2410" w:right="2363"/>
        <w:jc w:val="center"/>
        <w:rPr>
          <w:szCs w:val="22"/>
        </w:rPr>
      </w:pPr>
    </w:p>
    <w:p w14:paraId="1C04C805" w14:textId="77777777" w:rsidR="005C120E" w:rsidRPr="00DB7B05" w:rsidRDefault="005C120E" w:rsidP="005C120E">
      <w:pPr>
        <w:pStyle w:val="BodyText"/>
        <w:jc w:val="center"/>
        <w:rPr>
          <w:rFonts w:asciiTheme="majorHAnsi" w:hAnsiTheme="majorHAnsi"/>
          <w:b/>
          <w:szCs w:val="22"/>
        </w:rPr>
      </w:pPr>
      <w:r w:rsidRPr="00DB7B05">
        <w:rPr>
          <w:rFonts w:asciiTheme="majorHAnsi" w:hAnsiTheme="majorHAnsi"/>
          <w:b/>
          <w:szCs w:val="22"/>
        </w:rPr>
        <w:t>GREAT BRITISH ENERGY</w:t>
      </w:r>
    </w:p>
    <w:p w14:paraId="7E7A3750" w14:textId="435440A2" w:rsidR="005C120E" w:rsidRDefault="004B6AA8" w:rsidP="005C120E">
      <w:pPr>
        <w:pStyle w:val="BodyText"/>
        <w:jc w:val="center"/>
        <w:rPr>
          <w:rFonts w:asciiTheme="majorHAnsi" w:hAnsiTheme="majorHAnsi"/>
          <w:b/>
          <w:szCs w:val="22"/>
        </w:rPr>
      </w:pPr>
      <w:r>
        <w:rPr>
          <w:rFonts w:asciiTheme="majorHAnsi" w:hAnsiTheme="majorHAnsi"/>
          <w:b/>
          <w:szCs w:val="22"/>
        </w:rPr>
        <w:t>FORM OF SUB-CONTRACTOR COLLATERAL WARRANTY</w:t>
      </w:r>
    </w:p>
    <w:p w14:paraId="25F6627C" w14:textId="13C49B21" w:rsidR="00065425" w:rsidRDefault="00065425" w:rsidP="005C120E">
      <w:pPr>
        <w:pStyle w:val="BodyText"/>
        <w:jc w:val="center"/>
        <w:rPr>
          <w:rFonts w:asciiTheme="majorHAnsi" w:hAnsiTheme="majorHAnsi"/>
          <w:b/>
          <w:szCs w:val="22"/>
        </w:rPr>
      </w:pPr>
      <w:r>
        <w:rPr>
          <w:rFonts w:asciiTheme="majorHAnsi" w:hAnsiTheme="majorHAnsi"/>
          <w:b/>
          <w:szCs w:val="22"/>
        </w:rPr>
        <w:t>(SCHEDULE 5 TO EPC CONTRACT)</w:t>
      </w:r>
    </w:p>
    <w:p w14:paraId="49320A56" w14:textId="4708F2C1" w:rsidR="00384A42" w:rsidRPr="00DB7B05" w:rsidRDefault="00384A42" w:rsidP="005C120E">
      <w:pPr>
        <w:pStyle w:val="BodyText"/>
        <w:jc w:val="center"/>
        <w:rPr>
          <w:rFonts w:asciiTheme="majorHAnsi" w:hAnsiTheme="majorHAnsi"/>
          <w:b/>
          <w:szCs w:val="22"/>
        </w:rPr>
      </w:pPr>
      <w:r>
        <w:rPr>
          <w:rFonts w:asciiTheme="majorHAnsi" w:hAnsiTheme="majorHAnsi"/>
          <w:b/>
          <w:szCs w:val="22"/>
        </w:rPr>
        <w:t>LEGAL GUIDANCE</w:t>
      </w:r>
    </w:p>
    <w:p w14:paraId="2D3AC641" w14:textId="77777777" w:rsidR="00390A93" w:rsidRPr="007C1E3C" w:rsidRDefault="00390A93" w:rsidP="002A5913">
      <w:pPr>
        <w:pStyle w:val="BodyText"/>
        <w:pBdr>
          <w:bottom w:val="single" w:sz="4" w:space="1" w:color="auto"/>
        </w:pBdr>
        <w:ind w:left="2410" w:right="2364"/>
        <w:jc w:val="center"/>
        <w:rPr>
          <w:szCs w:val="22"/>
        </w:rPr>
      </w:pPr>
    </w:p>
    <w:p w14:paraId="0E4780E9" w14:textId="77777777" w:rsidR="002A5913" w:rsidRPr="007C1E3C" w:rsidRDefault="002A5913" w:rsidP="002A5913">
      <w:pPr>
        <w:pStyle w:val="BodyText"/>
        <w:jc w:val="center"/>
        <w:rPr>
          <w:szCs w:val="22"/>
        </w:rPr>
      </w:pPr>
    </w:p>
    <w:p w14:paraId="68292FBB" w14:textId="77777777" w:rsidR="002A5913" w:rsidRPr="007C1E3C" w:rsidRDefault="002A5913" w:rsidP="002A5913">
      <w:pPr>
        <w:pStyle w:val="BodyText"/>
        <w:jc w:val="center"/>
        <w:rPr>
          <w:szCs w:val="22"/>
        </w:rPr>
      </w:pPr>
    </w:p>
    <w:p w14:paraId="60140348" w14:textId="77777777" w:rsidR="00FC6DAB" w:rsidRPr="007C1E3C" w:rsidRDefault="00FC6DAB" w:rsidP="002A5913">
      <w:pPr>
        <w:pStyle w:val="BodyText"/>
        <w:jc w:val="center"/>
        <w:rPr>
          <w:szCs w:val="22"/>
        </w:rPr>
      </w:pPr>
    </w:p>
    <w:p w14:paraId="68A09208" w14:textId="77777777" w:rsidR="00FC6DAB" w:rsidRPr="007C1E3C" w:rsidRDefault="00FC6DAB" w:rsidP="002A5913">
      <w:pPr>
        <w:pStyle w:val="BodyText"/>
        <w:jc w:val="center"/>
        <w:rPr>
          <w:szCs w:val="22"/>
        </w:rPr>
      </w:pPr>
    </w:p>
    <w:p w14:paraId="2594E74D" w14:textId="77777777" w:rsidR="00FC6DAB" w:rsidRPr="007C1E3C" w:rsidRDefault="00FC6DAB" w:rsidP="002A5913">
      <w:pPr>
        <w:pStyle w:val="BodyText"/>
        <w:jc w:val="center"/>
        <w:rPr>
          <w:i/>
          <w:iCs/>
          <w:szCs w:val="22"/>
        </w:rPr>
      </w:pPr>
    </w:p>
    <w:p w14:paraId="5893713D" w14:textId="77777777" w:rsidR="00FC6DAB" w:rsidRPr="007C1E3C" w:rsidRDefault="00FC6DAB" w:rsidP="002A5913">
      <w:pPr>
        <w:pStyle w:val="BodyText"/>
        <w:jc w:val="center"/>
        <w:rPr>
          <w:szCs w:val="22"/>
        </w:rPr>
      </w:pPr>
    </w:p>
    <w:p w14:paraId="6A6A969E" w14:textId="77777777" w:rsidR="00FC6DAB" w:rsidRPr="007C1E3C" w:rsidRDefault="00FC6DAB" w:rsidP="002A5913">
      <w:pPr>
        <w:pStyle w:val="BodyText"/>
        <w:jc w:val="center"/>
        <w:rPr>
          <w:szCs w:val="22"/>
        </w:rPr>
      </w:pPr>
    </w:p>
    <w:p w14:paraId="60161E4F" w14:textId="77777777" w:rsidR="00FC6DAB" w:rsidRPr="007C1E3C" w:rsidRDefault="00FC6DAB" w:rsidP="002A5913">
      <w:pPr>
        <w:pStyle w:val="BodyText"/>
        <w:jc w:val="center"/>
        <w:rPr>
          <w:szCs w:val="22"/>
        </w:rPr>
      </w:pPr>
    </w:p>
    <w:p w14:paraId="27A353EF" w14:textId="77777777" w:rsidR="009829EA" w:rsidRPr="007C1E3C" w:rsidRDefault="009829EA" w:rsidP="009829EA">
      <w:pPr>
        <w:pStyle w:val="BodyText"/>
        <w:rPr>
          <w:sz w:val="20"/>
        </w:rPr>
      </w:pPr>
    </w:p>
    <w:p w14:paraId="586D8E72" w14:textId="735BCD90" w:rsidR="00A30BFD" w:rsidRPr="007C1E3C" w:rsidRDefault="00A30BFD" w:rsidP="00A30BFD">
      <w:pPr>
        <w:pStyle w:val="BodyText"/>
        <w:spacing w:after="0"/>
        <w:jc w:val="center"/>
        <w:rPr>
          <w:b/>
        </w:rPr>
      </w:pPr>
      <w:bookmarkStart w:id="0" w:name="labFirmEntities"/>
      <w:bookmarkEnd w:id="0"/>
    </w:p>
    <w:p w14:paraId="164CAD47" w14:textId="77777777" w:rsidR="002A5913" w:rsidRPr="007C1E3C" w:rsidRDefault="002A5913" w:rsidP="002A5913">
      <w:pPr>
        <w:pStyle w:val="BodyText"/>
        <w:rPr>
          <w:szCs w:val="22"/>
        </w:rPr>
        <w:sectPr w:rsidR="002A5913" w:rsidRPr="007C1E3C" w:rsidSect="00B511AB">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7C1E3C" w:rsidRDefault="002A5913" w:rsidP="002A5913">
      <w:pPr>
        <w:pStyle w:val="BodyText"/>
        <w:jc w:val="center"/>
        <w:rPr>
          <w:b/>
          <w:szCs w:val="22"/>
        </w:rPr>
      </w:pPr>
      <w:r w:rsidRPr="007C1E3C">
        <w:rPr>
          <w:b/>
          <w:szCs w:val="22"/>
        </w:rPr>
        <w:lastRenderedPageBreak/>
        <w:t>CONTENTS</w:t>
      </w:r>
    </w:p>
    <w:tbl>
      <w:tblPr>
        <w:tblW w:w="5000" w:type="pct"/>
        <w:tblLook w:val="01E0" w:firstRow="1" w:lastRow="1" w:firstColumn="1" w:lastColumn="1" w:noHBand="0" w:noVBand="0"/>
      </w:tblPr>
      <w:tblGrid>
        <w:gridCol w:w="7818"/>
        <w:gridCol w:w="1252"/>
      </w:tblGrid>
      <w:tr w:rsidR="002A5913" w:rsidRPr="007C1E3C" w14:paraId="3950B35A" w14:textId="77777777" w:rsidTr="00821BEB">
        <w:tc>
          <w:tcPr>
            <w:tcW w:w="4310" w:type="pct"/>
          </w:tcPr>
          <w:p w14:paraId="155F169C" w14:textId="7D942816" w:rsidR="002A5913" w:rsidRPr="007C1E3C" w:rsidRDefault="002A5913" w:rsidP="00A30BFD">
            <w:pPr>
              <w:pStyle w:val="BodyText"/>
              <w:ind w:left="-79"/>
              <w:rPr>
                <w:szCs w:val="22"/>
              </w:rPr>
            </w:pPr>
            <w:r w:rsidRPr="007C1E3C">
              <w:rPr>
                <w:b/>
                <w:szCs w:val="22"/>
              </w:rPr>
              <w:t>Clause Heading</w:t>
            </w:r>
          </w:p>
        </w:tc>
        <w:tc>
          <w:tcPr>
            <w:tcW w:w="690" w:type="pct"/>
          </w:tcPr>
          <w:p w14:paraId="7BF32148" w14:textId="77777777" w:rsidR="002A5913" w:rsidRPr="007C1E3C" w:rsidRDefault="002A5913" w:rsidP="00203B5C">
            <w:pPr>
              <w:pStyle w:val="BodyText"/>
              <w:jc w:val="right"/>
              <w:rPr>
                <w:szCs w:val="22"/>
              </w:rPr>
            </w:pPr>
            <w:r w:rsidRPr="007C1E3C">
              <w:rPr>
                <w:b/>
                <w:szCs w:val="22"/>
              </w:rPr>
              <w:t>Page</w:t>
            </w:r>
          </w:p>
        </w:tc>
      </w:tr>
    </w:tbl>
    <w:p w14:paraId="13F70938" w14:textId="79C5DD18" w:rsidR="00617DE5" w:rsidRDefault="002A5913">
      <w:pPr>
        <w:pStyle w:val="TOC1"/>
        <w:rPr>
          <w:rFonts w:asciiTheme="minorHAnsi" w:eastAsiaTheme="minorEastAsia" w:hAnsiTheme="minorHAnsi" w:cstheme="minorBidi"/>
          <w:noProof/>
          <w:kern w:val="2"/>
          <w:sz w:val="24"/>
          <w:szCs w:val="24"/>
          <w:lang w:eastAsia="en-GB"/>
          <w14:ligatures w14:val="standardContextual"/>
        </w:rPr>
      </w:pPr>
      <w:r w:rsidRPr="007C1E3C">
        <w:rPr>
          <w:noProof/>
          <w:sz w:val="22"/>
          <w:szCs w:val="22"/>
        </w:rPr>
        <w:fldChar w:fldCharType="begin"/>
      </w:r>
      <w:r w:rsidRPr="007C1E3C">
        <w:rPr>
          <w:sz w:val="22"/>
          <w:szCs w:val="22"/>
        </w:rPr>
        <w:instrText xml:space="preserve"> TOC \o "1-1"\n "2-2" \h \z \t "B&amp;B Heading 1,1,B&amp;B Schedule Sub-title,2,B&amp;B Schedule Title,1" </w:instrText>
      </w:r>
      <w:r w:rsidRPr="007C1E3C">
        <w:rPr>
          <w:noProof/>
          <w:sz w:val="22"/>
          <w:szCs w:val="22"/>
        </w:rPr>
        <w:fldChar w:fldCharType="separate"/>
      </w:r>
      <w:hyperlink w:anchor="_Toc225446966" w:history="1">
        <w:r w:rsidR="00617DE5" w:rsidRPr="00C3727D">
          <w:rPr>
            <w:rStyle w:val="Hyperlink"/>
            <w:noProof/>
          </w:rPr>
          <w:t>1.</w:t>
        </w:r>
        <w:r w:rsidR="00617DE5">
          <w:rPr>
            <w:rFonts w:asciiTheme="minorHAnsi" w:eastAsiaTheme="minorEastAsia" w:hAnsiTheme="minorHAnsi" w:cstheme="minorBidi"/>
            <w:noProof/>
            <w:kern w:val="2"/>
            <w:sz w:val="24"/>
            <w:szCs w:val="24"/>
            <w:lang w:eastAsia="en-GB"/>
            <w14:ligatures w14:val="standardContextual"/>
          </w:rPr>
          <w:tab/>
        </w:r>
        <w:r w:rsidR="00617DE5" w:rsidRPr="00C3727D">
          <w:rPr>
            <w:rStyle w:val="Hyperlink"/>
            <w:noProof/>
          </w:rPr>
          <w:t>Introduction</w:t>
        </w:r>
        <w:r w:rsidR="00617DE5">
          <w:rPr>
            <w:noProof/>
            <w:webHidden/>
          </w:rPr>
          <w:tab/>
        </w:r>
        <w:r w:rsidR="00617DE5">
          <w:rPr>
            <w:noProof/>
            <w:webHidden/>
          </w:rPr>
          <w:fldChar w:fldCharType="begin"/>
        </w:r>
        <w:r w:rsidR="00617DE5">
          <w:rPr>
            <w:noProof/>
            <w:webHidden/>
          </w:rPr>
          <w:instrText xml:space="preserve"> PAGEREF _Toc225446966 \h </w:instrText>
        </w:r>
        <w:r w:rsidR="00617DE5">
          <w:rPr>
            <w:noProof/>
            <w:webHidden/>
          </w:rPr>
        </w:r>
        <w:r w:rsidR="00617DE5">
          <w:rPr>
            <w:noProof/>
            <w:webHidden/>
          </w:rPr>
          <w:fldChar w:fldCharType="separate"/>
        </w:r>
        <w:r w:rsidR="00EF5443">
          <w:rPr>
            <w:noProof/>
            <w:webHidden/>
          </w:rPr>
          <w:t>1</w:t>
        </w:r>
        <w:r w:rsidR="00617DE5">
          <w:rPr>
            <w:noProof/>
            <w:webHidden/>
          </w:rPr>
          <w:fldChar w:fldCharType="end"/>
        </w:r>
      </w:hyperlink>
    </w:p>
    <w:p w14:paraId="072972A1" w14:textId="7AFD2476" w:rsidR="00617DE5" w:rsidRDefault="00617DE5">
      <w:pPr>
        <w:pStyle w:val="TOC1"/>
        <w:rPr>
          <w:rFonts w:asciiTheme="minorHAnsi" w:eastAsiaTheme="minorEastAsia" w:hAnsiTheme="minorHAnsi" w:cstheme="minorBidi"/>
          <w:noProof/>
          <w:kern w:val="2"/>
          <w:sz w:val="24"/>
          <w:szCs w:val="24"/>
          <w:lang w:eastAsia="en-GB"/>
          <w14:ligatures w14:val="standardContextual"/>
        </w:rPr>
      </w:pPr>
      <w:hyperlink w:anchor="_Toc225446967" w:history="1">
        <w:r w:rsidRPr="00C3727D">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C3727D">
          <w:rPr>
            <w:rStyle w:val="Hyperlink"/>
            <w:noProof/>
          </w:rPr>
          <w:t>Use of Template and this Guidance</w:t>
        </w:r>
        <w:r>
          <w:rPr>
            <w:noProof/>
            <w:webHidden/>
          </w:rPr>
          <w:tab/>
        </w:r>
        <w:r>
          <w:rPr>
            <w:noProof/>
            <w:webHidden/>
          </w:rPr>
          <w:fldChar w:fldCharType="begin"/>
        </w:r>
        <w:r>
          <w:rPr>
            <w:noProof/>
            <w:webHidden/>
          </w:rPr>
          <w:instrText xml:space="preserve"> PAGEREF _Toc225446967 \h </w:instrText>
        </w:r>
        <w:r>
          <w:rPr>
            <w:noProof/>
            <w:webHidden/>
          </w:rPr>
        </w:r>
        <w:r>
          <w:rPr>
            <w:noProof/>
            <w:webHidden/>
          </w:rPr>
          <w:fldChar w:fldCharType="separate"/>
        </w:r>
        <w:r w:rsidR="00EF5443">
          <w:rPr>
            <w:noProof/>
            <w:webHidden/>
          </w:rPr>
          <w:t>2</w:t>
        </w:r>
        <w:r>
          <w:rPr>
            <w:noProof/>
            <w:webHidden/>
          </w:rPr>
          <w:fldChar w:fldCharType="end"/>
        </w:r>
      </w:hyperlink>
    </w:p>
    <w:p w14:paraId="5C1F3053" w14:textId="50B2DBAC" w:rsidR="00617DE5" w:rsidRDefault="00617DE5">
      <w:pPr>
        <w:pStyle w:val="TOC1"/>
        <w:rPr>
          <w:rFonts w:asciiTheme="minorHAnsi" w:eastAsiaTheme="minorEastAsia" w:hAnsiTheme="minorHAnsi" w:cstheme="minorBidi"/>
          <w:noProof/>
          <w:kern w:val="2"/>
          <w:sz w:val="24"/>
          <w:szCs w:val="24"/>
          <w:lang w:eastAsia="en-GB"/>
          <w14:ligatures w14:val="standardContextual"/>
        </w:rPr>
      </w:pPr>
      <w:r w:rsidRPr="00617DE5">
        <w:rPr>
          <w:rStyle w:val="Hyperlink"/>
          <w:noProof/>
          <w:u w:val="none"/>
        </w:rPr>
        <w:tab/>
      </w:r>
      <w:hyperlink w:anchor="_Toc225446968" w:history="1">
        <w:r w:rsidRPr="00C3727D">
          <w:rPr>
            <w:rStyle w:val="Hyperlink"/>
            <w:noProof/>
          </w:rPr>
          <w:t>Glossary of Key Terms and Abbreviations</w:t>
        </w:r>
        <w:r>
          <w:rPr>
            <w:noProof/>
            <w:webHidden/>
          </w:rPr>
          <w:tab/>
        </w:r>
        <w:r>
          <w:rPr>
            <w:noProof/>
            <w:webHidden/>
          </w:rPr>
          <w:fldChar w:fldCharType="begin"/>
        </w:r>
        <w:r>
          <w:rPr>
            <w:noProof/>
            <w:webHidden/>
          </w:rPr>
          <w:instrText xml:space="preserve"> PAGEREF _Toc225446968 \h </w:instrText>
        </w:r>
        <w:r>
          <w:rPr>
            <w:noProof/>
            <w:webHidden/>
          </w:rPr>
        </w:r>
        <w:r>
          <w:rPr>
            <w:noProof/>
            <w:webHidden/>
          </w:rPr>
          <w:fldChar w:fldCharType="separate"/>
        </w:r>
        <w:r w:rsidR="00EF5443">
          <w:rPr>
            <w:noProof/>
            <w:webHidden/>
          </w:rPr>
          <w:t>2</w:t>
        </w:r>
        <w:r>
          <w:rPr>
            <w:noProof/>
            <w:webHidden/>
          </w:rPr>
          <w:fldChar w:fldCharType="end"/>
        </w:r>
      </w:hyperlink>
    </w:p>
    <w:p w14:paraId="338DD5F1" w14:textId="00B67810" w:rsidR="00617DE5" w:rsidRDefault="00617DE5">
      <w:pPr>
        <w:pStyle w:val="TOC1"/>
        <w:rPr>
          <w:rFonts w:asciiTheme="minorHAnsi" w:eastAsiaTheme="minorEastAsia" w:hAnsiTheme="minorHAnsi" w:cstheme="minorBidi"/>
          <w:noProof/>
          <w:kern w:val="2"/>
          <w:sz w:val="24"/>
          <w:szCs w:val="24"/>
          <w:lang w:eastAsia="en-GB"/>
          <w14:ligatures w14:val="standardContextual"/>
        </w:rPr>
      </w:pPr>
      <w:hyperlink w:anchor="_Toc225446969" w:history="1">
        <w:r w:rsidRPr="00C3727D">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C3727D">
          <w:rPr>
            <w:rStyle w:val="Hyperlink"/>
            <w:noProof/>
          </w:rPr>
          <w:t>Clause-by-clause commentary</w:t>
        </w:r>
        <w:r>
          <w:rPr>
            <w:noProof/>
            <w:webHidden/>
          </w:rPr>
          <w:tab/>
        </w:r>
        <w:r>
          <w:rPr>
            <w:noProof/>
            <w:webHidden/>
          </w:rPr>
          <w:fldChar w:fldCharType="begin"/>
        </w:r>
        <w:r>
          <w:rPr>
            <w:noProof/>
            <w:webHidden/>
          </w:rPr>
          <w:instrText xml:space="preserve"> PAGEREF _Toc225446969 \h </w:instrText>
        </w:r>
        <w:r>
          <w:rPr>
            <w:noProof/>
            <w:webHidden/>
          </w:rPr>
        </w:r>
        <w:r>
          <w:rPr>
            <w:noProof/>
            <w:webHidden/>
          </w:rPr>
          <w:fldChar w:fldCharType="separate"/>
        </w:r>
        <w:r w:rsidR="00EF5443">
          <w:rPr>
            <w:noProof/>
            <w:webHidden/>
          </w:rPr>
          <w:t>4</w:t>
        </w:r>
        <w:r>
          <w:rPr>
            <w:noProof/>
            <w:webHidden/>
          </w:rPr>
          <w:fldChar w:fldCharType="end"/>
        </w:r>
      </w:hyperlink>
    </w:p>
    <w:p w14:paraId="5193FA0B" w14:textId="635546B4" w:rsidR="00D335E0" w:rsidRPr="007C1E3C" w:rsidRDefault="002A5913" w:rsidP="002A5913">
      <w:pPr>
        <w:rPr>
          <w:sz w:val="22"/>
          <w:szCs w:val="22"/>
        </w:rPr>
      </w:pPr>
      <w:r w:rsidRPr="007C1E3C">
        <w:rPr>
          <w:sz w:val="22"/>
          <w:szCs w:val="22"/>
        </w:rPr>
        <w:fldChar w:fldCharType="end"/>
      </w:r>
    </w:p>
    <w:p w14:paraId="26C6F421" w14:textId="77777777" w:rsidR="00D833B4" w:rsidRPr="007C1E3C" w:rsidRDefault="00D833B4" w:rsidP="002A5913">
      <w:pPr>
        <w:rPr>
          <w:sz w:val="22"/>
          <w:szCs w:val="22"/>
        </w:rPr>
      </w:pPr>
    </w:p>
    <w:p w14:paraId="38AEA291" w14:textId="465C203F" w:rsidR="003B6A8D" w:rsidRPr="00D92F2E" w:rsidRDefault="003B6A8D" w:rsidP="00D92F2E">
      <w:pPr>
        <w:rPr>
          <w:b/>
          <w:sz w:val="22"/>
          <w:szCs w:val="22"/>
        </w:rPr>
      </w:pPr>
      <w:r>
        <w:rPr>
          <w:b/>
          <w:szCs w:val="22"/>
        </w:rPr>
        <w:br w:type="page"/>
      </w:r>
    </w:p>
    <w:p w14:paraId="53F13C26" w14:textId="77777777" w:rsidR="002A5913" w:rsidRPr="007C1E3C" w:rsidRDefault="002A5913" w:rsidP="002A5913">
      <w:pPr>
        <w:pStyle w:val="BodyText"/>
        <w:spacing w:after="0"/>
        <w:jc w:val="center"/>
        <w:outlineLvl w:val="0"/>
        <w:rPr>
          <w:b/>
          <w:szCs w:val="22"/>
        </w:rPr>
        <w:sectPr w:rsidR="002A5913" w:rsidRPr="007C1E3C" w:rsidSect="00B511AB">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413E07C9" w:rsidR="009F5866" w:rsidRPr="007C1E3C" w:rsidRDefault="009F5866" w:rsidP="009F5866">
      <w:pPr>
        <w:pStyle w:val="BBHeading1Lower"/>
      </w:pPr>
      <w:bookmarkStart w:id="1" w:name="_Toc225446966"/>
      <w:r w:rsidRPr="007C1E3C">
        <w:lastRenderedPageBreak/>
        <w:t>Introductio</w:t>
      </w:r>
      <w:r w:rsidR="00794A01">
        <w:t>n</w:t>
      </w:r>
      <w:bookmarkEnd w:id="1"/>
    </w:p>
    <w:p w14:paraId="0019C750" w14:textId="3792ACC3" w:rsidR="00CF7A53" w:rsidRDefault="00CF7A53" w:rsidP="00CF7A53">
      <w:pPr>
        <w:pStyle w:val="BodyText"/>
      </w:pPr>
      <w:r>
        <w:t xml:space="preserve">This guidance accompanies the template </w:t>
      </w:r>
      <w:r w:rsidR="00C848D4">
        <w:t xml:space="preserve">Form of </w:t>
      </w:r>
      <w:r>
        <w:t>Sub-Contractor's Deed of Warranty (</w:t>
      </w:r>
      <w:r w:rsidR="00C848D4">
        <w:t xml:space="preserve">also </w:t>
      </w:r>
      <w:r>
        <w:t xml:space="preserve">Schedule 5 to the EPC Contract) (the </w:t>
      </w:r>
      <w:r w:rsidRPr="003F1ACC">
        <w:rPr>
          <w:b/>
          <w:bCs/>
        </w:rPr>
        <w:t>Template</w:t>
      </w:r>
      <w:r>
        <w:t xml:space="preserve"> or </w:t>
      </w:r>
      <w:r w:rsidRPr="003F1ACC">
        <w:rPr>
          <w:b/>
          <w:bCs/>
        </w:rPr>
        <w:t>Deed</w:t>
      </w:r>
      <w:r>
        <w:t>), which is a tri-partite deed made between the Sub-Contractor, the Beneficiary, and the Contractor in relation to the Sub-Contract Works carried out by the Sub-Contractor under the Sub-Contract.</w:t>
      </w:r>
      <w:r w:rsidR="00E30B05">
        <w:t xml:space="preserve"> </w:t>
      </w:r>
      <w:r w:rsidR="00E30B05" w:rsidRPr="00326E87">
        <w:t xml:space="preserve">The Template </w:t>
      </w:r>
      <w:r w:rsidR="00E30B05">
        <w:t>is</w:t>
      </w:r>
      <w:r w:rsidR="00E30B05" w:rsidRPr="00326E87">
        <w:t xml:space="preserve"> drafted on the assumption that the Employer is a JVCO</w:t>
      </w:r>
      <w:r w:rsidR="00E30B05">
        <w:t xml:space="preserve"> (in which the CEG has shares) which owns and operates the Project.  The Template</w:t>
      </w:r>
      <w:r w:rsidR="00E30B05" w:rsidRPr="00326E87">
        <w:t xml:space="preserve"> can </w:t>
      </w:r>
      <w:r w:rsidR="00E30B05">
        <w:t xml:space="preserve">be </w:t>
      </w:r>
      <w:r w:rsidR="00E30B05" w:rsidRPr="00326E87">
        <w:t xml:space="preserve">adapted for use where the CEG itself is Employer (e.g. as part of a split site </w:t>
      </w:r>
      <w:r w:rsidR="00E30B05">
        <w:t>arrangement</w:t>
      </w:r>
      <w:r w:rsidR="00E30B05" w:rsidRPr="00326E87">
        <w:t>).</w:t>
      </w:r>
    </w:p>
    <w:p w14:paraId="108FDF96" w14:textId="22D0FA9A" w:rsidR="00CE6D38" w:rsidRDefault="00CE6D38" w:rsidP="00CE6D38">
      <w:pPr>
        <w:pStyle w:val="BodyText"/>
      </w:pPr>
      <w:r>
        <w:t>Under the EPC Contract, the Employer engages the Contractor to design, supply, construct, install, test and commission the renewable energy project at the Site. The Contractor may sub</w:t>
      </w:r>
      <w:r>
        <w:rPr>
          <w:rFonts w:ascii="Cambria Math" w:hAnsi="Cambria Math" w:cs="Cambria Math"/>
        </w:rPr>
        <w:t>‑</w:t>
      </w:r>
      <w:r>
        <w:t xml:space="preserve">contract elements of the </w:t>
      </w:r>
      <w:proofErr w:type="gramStart"/>
      <w:r>
        <w:t>works, but</w:t>
      </w:r>
      <w:proofErr w:type="gramEnd"/>
      <w:r>
        <w:t xml:space="preserve"> remains fully responsible for its obligations under the EPC Contract. Under the EPC Contract, the Contractor agrees to carry out and complete the Works. Under the Sub</w:t>
      </w:r>
      <w:r>
        <w:rPr>
          <w:rFonts w:ascii="Cambria Math" w:hAnsi="Cambria Math" w:cs="Cambria Math"/>
        </w:rPr>
        <w:t>‑</w:t>
      </w:r>
      <w:r>
        <w:t>Contract, the Sub</w:t>
      </w:r>
      <w:r>
        <w:rPr>
          <w:rFonts w:ascii="Cambria Math" w:hAnsi="Cambria Math" w:cs="Cambria Math"/>
        </w:rPr>
        <w:t>‑</w:t>
      </w:r>
      <w:r>
        <w:t>Contractor agrees to carry out and complete the Sub</w:t>
      </w:r>
      <w:r>
        <w:rPr>
          <w:rFonts w:ascii="Cambria Math" w:hAnsi="Cambria Math" w:cs="Cambria Math"/>
        </w:rPr>
        <w:t>‑</w:t>
      </w:r>
      <w:r>
        <w:t>Contract Works.</w:t>
      </w:r>
    </w:p>
    <w:p w14:paraId="33DAF9B2" w14:textId="266B785D" w:rsidR="00353912" w:rsidRDefault="00CE6D38" w:rsidP="00353912">
      <w:pPr>
        <w:pStyle w:val="BodyText"/>
      </w:pPr>
      <w:r>
        <w:t>The Beneficiary is the party for whose benefit the Deed is granted. The EPC Contract requires the Contractor, on the Employer’s request, to ensure that any Principal Sub</w:t>
      </w:r>
      <w:r>
        <w:rPr>
          <w:rFonts w:ascii="Cambria Math" w:hAnsi="Cambria Math" w:cs="Cambria Math"/>
        </w:rPr>
        <w:t>‑</w:t>
      </w:r>
      <w:r>
        <w:t xml:space="preserve">Contractor </w:t>
      </w:r>
      <w:proofErr w:type="gramStart"/>
      <w:r>
        <w:t>enters into</w:t>
      </w:r>
      <w:proofErr w:type="gramEnd"/>
      <w:r>
        <w:t xml:space="preserve"> a deed in the form of Schedule 5, enabling the Employer to contract directly with the Sub</w:t>
      </w:r>
      <w:r>
        <w:rPr>
          <w:rFonts w:ascii="Cambria Math" w:hAnsi="Cambria Math" w:cs="Cambria Math"/>
        </w:rPr>
        <w:t>‑</w:t>
      </w:r>
      <w:r>
        <w:t>Contractor if the EPC Contract is terminated</w:t>
      </w:r>
      <w:r w:rsidRPr="00617DE5">
        <w:t xml:space="preserve">. The Beneficiary is usually the </w:t>
      </w:r>
      <w:proofErr w:type="gramStart"/>
      <w:r w:rsidRPr="00617DE5">
        <w:t>Employer, but</w:t>
      </w:r>
      <w:proofErr w:type="gramEnd"/>
      <w:r w:rsidRPr="00617DE5">
        <w:t xml:space="preserve"> may also be a funder or another party with a legitimate interest in the Works.</w:t>
      </w:r>
      <w:r w:rsidR="00353912">
        <w:t xml:space="preserve"> </w:t>
      </w:r>
      <w:r w:rsidR="00353912">
        <w:t xml:space="preserve"> </w:t>
      </w:r>
      <w:r w:rsidR="00353912">
        <w:t xml:space="preserve">The Beneficiary's identity </w:t>
      </w:r>
      <w:r w:rsidR="001C301B">
        <w:t>should</w:t>
      </w:r>
      <w:r w:rsidR="001C301B">
        <w:t xml:space="preserve"> </w:t>
      </w:r>
      <w:r w:rsidR="00353912">
        <w:t>be confirmed and inserted at the outset.</w:t>
      </w:r>
    </w:p>
    <w:p w14:paraId="47A83E21" w14:textId="77777777" w:rsidR="00CE6D38" w:rsidRDefault="00CE6D38" w:rsidP="00CE6D38">
      <w:pPr>
        <w:pStyle w:val="BodyText"/>
      </w:pPr>
      <w:r>
        <w:t>The Deed creates a direct contractual relationship between the Sub</w:t>
      </w:r>
      <w:r>
        <w:rPr>
          <w:rFonts w:ascii="Cambria Math" w:hAnsi="Cambria Math" w:cs="Cambria Math"/>
        </w:rPr>
        <w:t>‑</w:t>
      </w:r>
      <w:r>
        <w:t>Contractor and the Beneficiary. Without it, the Beneficiary would have no direct claim against the Sub</w:t>
      </w:r>
      <w:r>
        <w:rPr>
          <w:rFonts w:ascii="Cambria Math" w:hAnsi="Cambria Math" w:cs="Cambria Math"/>
        </w:rPr>
        <w:t>‑</w:t>
      </w:r>
      <w:r>
        <w:t>Contractor for defects or failures in the Sub</w:t>
      </w:r>
      <w:r>
        <w:rPr>
          <w:rFonts w:ascii="Cambria Math" w:hAnsi="Cambria Math" w:cs="Cambria Math"/>
        </w:rPr>
        <w:t>‑</w:t>
      </w:r>
      <w:r>
        <w:t>Contract Works. The Deed therefore fills this gap, giving the Beneficiary a direct cause of action for breach of the warranties it contains.</w:t>
      </w:r>
    </w:p>
    <w:p w14:paraId="5CAB85C7" w14:textId="77777777" w:rsidR="001611B7" w:rsidRPr="002B3995" w:rsidRDefault="001611B7" w:rsidP="001611B7">
      <w:pPr>
        <w:pStyle w:val="BodyText"/>
        <w:rPr>
          <w:b/>
          <w:bCs/>
          <w:i/>
          <w:iCs/>
        </w:rPr>
      </w:pPr>
      <w:r w:rsidRPr="002B3995">
        <w:rPr>
          <w:b/>
          <w:bCs/>
          <w:i/>
          <w:iCs/>
        </w:rPr>
        <w:t>NOTE FOR USERS OF THIS GUIDANCE DOCUMENT</w:t>
      </w:r>
    </w:p>
    <w:p w14:paraId="459A9AEC" w14:textId="2D0864AD" w:rsidR="001611B7" w:rsidRDefault="001611B7" w:rsidP="00FA469D">
      <w:pPr>
        <w:pStyle w:val="BodyText"/>
      </w:pPr>
      <w:r w:rsidRPr="002B3995">
        <w:rPr>
          <w:i/>
          <w:iCs/>
        </w:rPr>
        <w:t xml:space="preserve">This guidance document has been developed for use by Community Energy SO projects only. It is intended to provide a useful starting point for conducting your Community Energy SO Project but is guidance only. This guidance does not promote the use of any </w:t>
      </w:r>
      <w:proofErr w:type="gramStart"/>
      <w:r w:rsidRPr="002B3995">
        <w:rPr>
          <w:i/>
          <w:iCs/>
        </w:rPr>
        <w:t>particular shared</w:t>
      </w:r>
      <w:proofErr w:type="gramEnd"/>
      <w:r w:rsidRPr="002B3995">
        <w:rPr>
          <w:i/>
          <w:iCs/>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you cannot rely on it as legal advice and no warranty, express or implied, is given as to its accuracy nor does Bird &amp; Bird accept any liability for any error or omission. You must take your own independent legal advice in relation to the development of appropriate documents for your project.</w:t>
      </w:r>
    </w:p>
    <w:p w14:paraId="12EE8F39" w14:textId="77777777" w:rsidR="001611B7" w:rsidRDefault="001611B7">
      <w:pPr>
        <w:rPr>
          <w:b/>
          <w:sz w:val="22"/>
        </w:rPr>
      </w:pPr>
      <w:r>
        <w:br w:type="page"/>
      </w:r>
    </w:p>
    <w:p w14:paraId="1DAB30D9" w14:textId="71638B94" w:rsidR="00D02DBC" w:rsidRDefault="005C0C21" w:rsidP="005C0C21">
      <w:pPr>
        <w:pStyle w:val="BBHeading1Lower"/>
      </w:pPr>
      <w:bookmarkStart w:id="2" w:name="_Toc225446967"/>
      <w:r>
        <w:lastRenderedPageBreak/>
        <w:t>Use of Template and this Guidance</w:t>
      </w:r>
      <w:bookmarkEnd w:id="2"/>
    </w:p>
    <w:p w14:paraId="5F5A8D0D" w14:textId="77777777" w:rsidR="005D356C" w:rsidRDefault="005D356C" w:rsidP="005D356C">
      <w:pPr>
        <w:pStyle w:val="BodyText"/>
      </w:pPr>
      <w:r>
        <w:t>Capitalised terms not defined in this Guidance have the meaning given to them in clause 1 (Definitions and Interpretation) of the Template. See the Glossary at the end of this section for key terms and abbreviations.</w:t>
      </w:r>
    </w:p>
    <w:p w14:paraId="2FE2087C" w14:textId="77777777" w:rsidR="005D356C" w:rsidRDefault="005D356C" w:rsidP="005D356C">
      <w:pPr>
        <w:pStyle w:val="BodyText"/>
      </w:pPr>
      <w:r>
        <w:t>The Template has been prepared on the basis that certain details will need to be inserted on a project-specific basis. Points requiring attention are marked with square brackets [ ].</w:t>
      </w:r>
    </w:p>
    <w:p w14:paraId="25C9269C" w14:textId="77777777" w:rsidR="00353912" w:rsidRDefault="00353912" w:rsidP="00353912">
      <w:pPr>
        <w:pStyle w:val="BodyText"/>
      </w:pPr>
      <w:r>
        <w:t>The key assumptions in the Template are that:</w:t>
      </w:r>
    </w:p>
    <w:p w14:paraId="30DAEF90" w14:textId="77777777" w:rsidR="00353912" w:rsidRDefault="00353912" w:rsidP="00353912">
      <w:pPr>
        <w:pStyle w:val="BBBulletatMargin"/>
      </w:pPr>
      <w:r>
        <w:t>the Employer under the EPC Contract is a JVCO entity (being a joint venture company in which the CEG holds a shareholding interest, alongside the developer entity</w:t>
      </w:r>
      <w:proofErr w:type="gramStart"/>
      <w:r>
        <w:t>);</w:t>
      </w:r>
      <w:proofErr w:type="gramEnd"/>
      <w:r>
        <w:t xml:space="preserve"> </w:t>
      </w:r>
    </w:p>
    <w:p w14:paraId="5A252653" w14:textId="77777777" w:rsidR="00353912" w:rsidRDefault="00353912" w:rsidP="00353912">
      <w:pPr>
        <w:pStyle w:val="BBBulletatMargin"/>
      </w:pPr>
      <w:r>
        <w:t xml:space="preserve">the Contractor has agreed with the Employer to carry out the design, supply, construction, installation, testing and commissioning of the relevant renewable energy system under the EPC Contract; and </w:t>
      </w:r>
    </w:p>
    <w:p w14:paraId="5E3C3523" w14:textId="7F89F548" w:rsidR="00353912" w:rsidRDefault="00353912" w:rsidP="00353912">
      <w:pPr>
        <w:pStyle w:val="BBBulletatMargin"/>
      </w:pPr>
      <w:r>
        <w:t xml:space="preserve">the JVCO is the Beneficiary under the </w:t>
      </w:r>
      <w:r>
        <w:t>Deed</w:t>
      </w:r>
      <w:r>
        <w:t>.</w:t>
      </w:r>
    </w:p>
    <w:p w14:paraId="31881947" w14:textId="51EA3FAC" w:rsidR="00E30B05" w:rsidRDefault="00E30B05" w:rsidP="001C301B">
      <w:pPr>
        <w:pStyle w:val="BBBulletatMargin"/>
        <w:numPr>
          <w:ilvl w:val="0"/>
          <w:numId w:val="0"/>
        </w:numPr>
      </w:pPr>
      <w:r>
        <w:t xml:space="preserve">If </w:t>
      </w:r>
      <w:r>
        <w:t xml:space="preserve">any of </w:t>
      </w:r>
      <w:r>
        <w:t xml:space="preserve">these assumptions </w:t>
      </w:r>
      <w:r>
        <w:t xml:space="preserve">do </w:t>
      </w:r>
      <w:r>
        <w:t xml:space="preserve">not apply to your project, please take legal advice to identify the necessary amendments to the Template: the risk allocation and key definitions may need to be </w:t>
      </w:r>
      <w:proofErr w:type="gramStart"/>
      <w:r>
        <w:t>revisited in particular</w:t>
      </w:r>
      <w:proofErr w:type="gramEnd"/>
      <w:r>
        <w:t>.</w:t>
      </w:r>
    </w:p>
    <w:p w14:paraId="7DEE8C78" w14:textId="77777777" w:rsidR="00E30B05" w:rsidRDefault="00E30B05" w:rsidP="00E30B05">
      <w:pPr>
        <w:pStyle w:val="BodyText"/>
      </w:pPr>
      <w:r>
        <w:t>In the clause-by-clause commentary below, sections marked "OPTIONAL" relate to provisions that can be deleted entirely if not relevant to your project. Sections marked "COMMONLY NEGOTIATED" are areas where the counterparty is likely to seek amendments, and you should discuss these with your legal adviser before agreeing terms.</w:t>
      </w:r>
    </w:p>
    <w:p w14:paraId="4AC8FCBE" w14:textId="77777777" w:rsidR="001611B7" w:rsidRDefault="001611B7" w:rsidP="009C34DC">
      <w:pPr>
        <w:pStyle w:val="BBHeading0Lower"/>
      </w:pPr>
    </w:p>
    <w:p w14:paraId="0FD7FC38" w14:textId="64F94B42" w:rsidR="00E96AF9" w:rsidRPr="00EC693A" w:rsidRDefault="00E96AF9" w:rsidP="00617DE5">
      <w:pPr>
        <w:pStyle w:val="BBHeading1Lower"/>
        <w:numPr>
          <w:ilvl w:val="0"/>
          <w:numId w:val="0"/>
        </w:numPr>
        <w:ind w:left="720" w:hanging="720"/>
      </w:pPr>
      <w:bookmarkStart w:id="3" w:name="_Toc225446968"/>
      <w:r w:rsidRPr="00EC693A">
        <w:t>Glossary of Key Terms and Abbreviations</w:t>
      </w:r>
      <w:bookmarkEnd w:id="3"/>
    </w:p>
    <w:tbl>
      <w:tblPr>
        <w:tblW w:w="9180" w:type="dxa"/>
        <w:tblCellSpacing w:w="15" w:type="dxa"/>
        <w:tblCellMar>
          <w:top w:w="15" w:type="dxa"/>
          <w:left w:w="15" w:type="dxa"/>
          <w:bottom w:w="15" w:type="dxa"/>
          <w:right w:w="15" w:type="dxa"/>
        </w:tblCellMar>
        <w:tblLook w:val="04A0" w:firstRow="1" w:lastRow="0" w:firstColumn="1" w:lastColumn="0" w:noHBand="0" w:noVBand="1"/>
      </w:tblPr>
      <w:tblGrid>
        <w:gridCol w:w="4022"/>
        <w:gridCol w:w="5158"/>
      </w:tblGrid>
      <w:tr w:rsidR="00D82AB6" w:rsidRPr="009C34DC" w14:paraId="5E6985C0" w14:textId="77777777" w:rsidTr="003E10E7">
        <w:trPr>
          <w:trHeight w:val="600"/>
          <w:tblHeader/>
          <w:tblCellSpacing w:w="15" w:type="dxa"/>
        </w:trPr>
        <w:tc>
          <w:tcPr>
            <w:tcW w:w="3977" w:type="dxa"/>
            <w:vAlign w:val="center"/>
            <w:hideMark/>
          </w:tcPr>
          <w:p w14:paraId="69CC7378" w14:textId="77777777" w:rsidR="00D82AB6" w:rsidRPr="00F24631" w:rsidRDefault="00D82AB6" w:rsidP="00D82AB6">
            <w:pPr>
              <w:pStyle w:val="BodyText"/>
              <w:ind w:left="45"/>
              <w:rPr>
                <w:b/>
                <w:bCs/>
              </w:rPr>
            </w:pPr>
            <w:r w:rsidRPr="00F24631">
              <w:rPr>
                <w:b/>
                <w:bCs/>
              </w:rPr>
              <w:t>Term</w:t>
            </w:r>
          </w:p>
        </w:tc>
        <w:tc>
          <w:tcPr>
            <w:tcW w:w="5113" w:type="dxa"/>
            <w:vAlign w:val="center"/>
          </w:tcPr>
          <w:p w14:paraId="3216E28B" w14:textId="3658F7D3" w:rsidR="00D82AB6" w:rsidRPr="009C34DC" w:rsidRDefault="00D82AB6" w:rsidP="00D82AB6">
            <w:pPr>
              <w:pStyle w:val="BodyText"/>
              <w:rPr>
                <w:b/>
                <w:bCs/>
              </w:rPr>
            </w:pPr>
            <w:r>
              <w:rPr>
                <w:b/>
                <w:bCs/>
              </w:rPr>
              <w:t>Definition</w:t>
            </w:r>
          </w:p>
        </w:tc>
      </w:tr>
      <w:tr w:rsidR="00D82AB6" w:rsidRPr="00FE4686" w14:paraId="27BC113C" w14:textId="77777777" w:rsidTr="003E10E7">
        <w:trPr>
          <w:tblCellSpacing w:w="15" w:type="dxa"/>
        </w:trPr>
        <w:tc>
          <w:tcPr>
            <w:tcW w:w="3977" w:type="dxa"/>
            <w:hideMark/>
          </w:tcPr>
          <w:p w14:paraId="113D124F" w14:textId="77777777" w:rsidR="00D82AB6" w:rsidRPr="00F24631" w:rsidRDefault="00D82AB6" w:rsidP="00D82AB6">
            <w:pPr>
              <w:pStyle w:val="BodyText"/>
              <w:ind w:left="45"/>
              <w:jc w:val="left"/>
              <w:rPr>
                <w:b/>
                <w:bCs/>
              </w:rPr>
            </w:pPr>
            <w:r w:rsidRPr="00F24631">
              <w:rPr>
                <w:b/>
                <w:bCs/>
              </w:rPr>
              <w:t>Beneficiary</w:t>
            </w:r>
          </w:p>
        </w:tc>
        <w:tc>
          <w:tcPr>
            <w:tcW w:w="5113" w:type="dxa"/>
            <w:vAlign w:val="center"/>
          </w:tcPr>
          <w:p w14:paraId="4B912D35" w14:textId="0E282A34" w:rsidR="00D82AB6" w:rsidRPr="00FE4686" w:rsidRDefault="00D82AB6" w:rsidP="00D82AB6">
            <w:pPr>
              <w:pStyle w:val="BodyText"/>
              <w:ind w:right="45"/>
            </w:pPr>
            <w:r w:rsidRPr="00CC3DAD">
              <w:t>The company or person this Deed is given in favour of (named in the Deed itself), including anyone who later takes over their rights or is permitted to take an assignment of them.</w:t>
            </w:r>
          </w:p>
        </w:tc>
      </w:tr>
      <w:tr w:rsidR="00D82AB6" w:rsidRPr="00FE4686" w14:paraId="40274FB9" w14:textId="77777777" w:rsidTr="003E10E7">
        <w:trPr>
          <w:tblCellSpacing w:w="15" w:type="dxa"/>
        </w:trPr>
        <w:tc>
          <w:tcPr>
            <w:tcW w:w="3977" w:type="dxa"/>
            <w:hideMark/>
          </w:tcPr>
          <w:p w14:paraId="0E800C72" w14:textId="77777777" w:rsidR="00D82AB6" w:rsidRPr="00F24631" w:rsidRDefault="00D82AB6" w:rsidP="00D82AB6">
            <w:pPr>
              <w:pStyle w:val="BodyText"/>
              <w:ind w:left="45"/>
              <w:jc w:val="left"/>
              <w:rPr>
                <w:b/>
                <w:bCs/>
              </w:rPr>
            </w:pPr>
            <w:r w:rsidRPr="00F24631">
              <w:rPr>
                <w:b/>
                <w:bCs/>
              </w:rPr>
              <w:t>CEG</w:t>
            </w:r>
          </w:p>
        </w:tc>
        <w:tc>
          <w:tcPr>
            <w:tcW w:w="5113" w:type="dxa"/>
            <w:vAlign w:val="center"/>
          </w:tcPr>
          <w:p w14:paraId="4F8CA669" w14:textId="184FB65D" w:rsidR="00D82AB6" w:rsidRPr="00FE4686" w:rsidRDefault="00D82AB6" w:rsidP="00D82AB6">
            <w:pPr>
              <w:pStyle w:val="BodyText"/>
            </w:pPr>
            <w:r w:rsidRPr="00CC3DAD">
              <w:t>Community Energy Group — the community energy organisation involved in the project as the client, either directly or through a jointly owned company (a JVCO).</w:t>
            </w:r>
          </w:p>
        </w:tc>
      </w:tr>
      <w:tr w:rsidR="00D82AB6" w:rsidRPr="00FE4686" w14:paraId="51659DA6" w14:textId="77777777" w:rsidTr="003E10E7">
        <w:trPr>
          <w:tblCellSpacing w:w="15" w:type="dxa"/>
        </w:trPr>
        <w:tc>
          <w:tcPr>
            <w:tcW w:w="3977" w:type="dxa"/>
            <w:hideMark/>
          </w:tcPr>
          <w:p w14:paraId="29151D86" w14:textId="77777777" w:rsidR="00D82AB6" w:rsidRPr="00F24631" w:rsidRDefault="00D82AB6" w:rsidP="00D82AB6">
            <w:pPr>
              <w:pStyle w:val="BodyText"/>
              <w:ind w:left="45"/>
              <w:jc w:val="left"/>
              <w:rPr>
                <w:b/>
                <w:bCs/>
              </w:rPr>
            </w:pPr>
            <w:r w:rsidRPr="00F24631">
              <w:rPr>
                <w:b/>
                <w:bCs/>
              </w:rPr>
              <w:t>Contractor</w:t>
            </w:r>
          </w:p>
        </w:tc>
        <w:tc>
          <w:tcPr>
            <w:tcW w:w="5113" w:type="dxa"/>
            <w:vAlign w:val="center"/>
          </w:tcPr>
          <w:p w14:paraId="1EFF92C5" w14:textId="24B5B8D0" w:rsidR="00D82AB6" w:rsidRPr="00FE4686" w:rsidRDefault="00D82AB6" w:rsidP="00D82AB6">
            <w:pPr>
              <w:pStyle w:val="BodyText"/>
            </w:pPr>
            <w:r w:rsidRPr="00CC3DAD">
              <w:t xml:space="preserve">The main contractor — the company that has </w:t>
            </w:r>
            <w:proofErr w:type="gramStart"/>
            <w:r w:rsidRPr="00CC3DAD">
              <w:t>entered into</w:t>
            </w:r>
            <w:proofErr w:type="gramEnd"/>
            <w:r w:rsidRPr="00CC3DAD">
              <w:t xml:space="preserve"> the construction contract with the Employer and has in turn subcontracted some of that work to the Sub-Contractor.</w:t>
            </w:r>
          </w:p>
        </w:tc>
      </w:tr>
      <w:tr w:rsidR="00D82AB6" w:rsidRPr="00FE4686" w14:paraId="4474B1F2" w14:textId="77777777" w:rsidTr="003E10E7">
        <w:trPr>
          <w:tblCellSpacing w:w="15" w:type="dxa"/>
        </w:trPr>
        <w:tc>
          <w:tcPr>
            <w:tcW w:w="3977" w:type="dxa"/>
            <w:hideMark/>
          </w:tcPr>
          <w:p w14:paraId="6487751F" w14:textId="77777777" w:rsidR="00D82AB6" w:rsidRPr="00F24631" w:rsidRDefault="00D82AB6" w:rsidP="00D82AB6">
            <w:pPr>
              <w:pStyle w:val="BodyText"/>
              <w:ind w:left="45"/>
              <w:jc w:val="left"/>
              <w:rPr>
                <w:b/>
                <w:bCs/>
              </w:rPr>
            </w:pPr>
            <w:r w:rsidRPr="00F24631">
              <w:rPr>
                <w:b/>
                <w:bCs/>
              </w:rPr>
              <w:t>Employer</w:t>
            </w:r>
          </w:p>
        </w:tc>
        <w:tc>
          <w:tcPr>
            <w:tcW w:w="5113" w:type="dxa"/>
            <w:vAlign w:val="center"/>
          </w:tcPr>
          <w:p w14:paraId="324043CE" w14:textId="6A7FC041" w:rsidR="00D82AB6" w:rsidRPr="00FE4686" w:rsidRDefault="00D82AB6" w:rsidP="00D82AB6">
            <w:pPr>
              <w:pStyle w:val="BodyText"/>
            </w:pPr>
            <w:r w:rsidRPr="00CC3DAD">
              <w:t>The client company (incorporated and registered in England and Wales) that has hired the Contractor under the construction contract.</w:t>
            </w:r>
          </w:p>
        </w:tc>
      </w:tr>
      <w:tr w:rsidR="00D82AB6" w:rsidRPr="00FE4686" w14:paraId="37DEEBBF" w14:textId="77777777" w:rsidTr="003E10E7">
        <w:trPr>
          <w:tblCellSpacing w:w="15" w:type="dxa"/>
        </w:trPr>
        <w:tc>
          <w:tcPr>
            <w:tcW w:w="3977" w:type="dxa"/>
            <w:hideMark/>
          </w:tcPr>
          <w:p w14:paraId="2673ACB1" w14:textId="77777777" w:rsidR="00D82AB6" w:rsidRPr="00F24631" w:rsidRDefault="00D82AB6" w:rsidP="00D82AB6">
            <w:pPr>
              <w:pStyle w:val="BodyText"/>
              <w:ind w:left="45"/>
              <w:jc w:val="left"/>
              <w:rPr>
                <w:b/>
                <w:bCs/>
              </w:rPr>
            </w:pPr>
            <w:r w:rsidRPr="00F24631">
              <w:rPr>
                <w:b/>
                <w:bCs/>
              </w:rPr>
              <w:lastRenderedPageBreak/>
              <w:t>JVCO</w:t>
            </w:r>
          </w:p>
        </w:tc>
        <w:tc>
          <w:tcPr>
            <w:tcW w:w="5113" w:type="dxa"/>
            <w:vAlign w:val="center"/>
          </w:tcPr>
          <w:p w14:paraId="5EF40E54" w14:textId="7C888646" w:rsidR="00D82AB6" w:rsidRPr="00FE4686" w:rsidRDefault="00D82AB6" w:rsidP="00D82AB6">
            <w:pPr>
              <w:pStyle w:val="BodyText"/>
            </w:pPr>
            <w:r w:rsidRPr="00CC3DAD">
              <w:t>A joint venture company set up by a CEG and a Developer to own and run the project together. Where this structure is used, the JVCO acts as the Employer under the construction contract rather than the CEG directly.</w:t>
            </w:r>
          </w:p>
        </w:tc>
      </w:tr>
      <w:tr w:rsidR="00D82AB6" w:rsidRPr="00FE4686" w14:paraId="23A74AD0" w14:textId="77777777" w:rsidTr="003E10E7">
        <w:trPr>
          <w:tblCellSpacing w:w="15" w:type="dxa"/>
        </w:trPr>
        <w:tc>
          <w:tcPr>
            <w:tcW w:w="3977" w:type="dxa"/>
            <w:hideMark/>
          </w:tcPr>
          <w:p w14:paraId="37A3E086" w14:textId="77777777" w:rsidR="00D82AB6" w:rsidRPr="00F24631" w:rsidRDefault="00D82AB6" w:rsidP="00D82AB6">
            <w:pPr>
              <w:pStyle w:val="BodyText"/>
              <w:ind w:left="45"/>
              <w:jc w:val="left"/>
              <w:rPr>
                <w:b/>
                <w:bCs/>
              </w:rPr>
            </w:pPr>
            <w:r w:rsidRPr="00F24631">
              <w:rPr>
                <w:b/>
                <w:bCs/>
              </w:rPr>
              <w:t>Site</w:t>
            </w:r>
          </w:p>
        </w:tc>
        <w:tc>
          <w:tcPr>
            <w:tcW w:w="5113" w:type="dxa"/>
            <w:vAlign w:val="center"/>
          </w:tcPr>
          <w:p w14:paraId="6990CFD9" w14:textId="1C9427BD" w:rsidR="00D82AB6" w:rsidRPr="00823CCA" w:rsidRDefault="00D82AB6" w:rsidP="00D82AB6">
            <w:pPr>
              <w:pStyle w:val="BodyText"/>
            </w:pPr>
            <w:r w:rsidRPr="00CC3DAD">
              <w:t>The land where the project is being built and carried out.</w:t>
            </w:r>
          </w:p>
        </w:tc>
      </w:tr>
    </w:tbl>
    <w:p w14:paraId="524BAEC6" w14:textId="77777777" w:rsidR="001611B7" w:rsidRDefault="001611B7">
      <w:pPr>
        <w:rPr>
          <w:b/>
          <w:sz w:val="22"/>
          <w:highlight w:val="lightGray"/>
        </w:rPr>
      </w:pPr>
      <w:r>
        <w:rPr>
          <w:highlight w:val="lightGray"/>
        </w:rPr>
        <w:br w:type="page"/>
      </w:r>
    </w:p>
    <w:p w14:paraId="365A64D1" w14:textId="1F31BDD1" w:rsidR="00390A93" w:rsidRDefault="00390A93" w:rsidP="001611B7">
      <w:pPr>
        <w:pStyle w:val="BBHeading1Lower"/>
      </w:pPr>
      <w:bookmarkStart w:id="4" w:name="_Toc225446969"/>
      <w:r>
        <w:lastRenderedPageBreak/>
        <w:t>Clause-by-clause commentary</w:t>
      </w:r>
      <w:bookmarkEnd w:id="4"/>
    </w:p>
    <w:p w14:paraId="44DA7EDE" w14:textId="3F20BF58" w:rsidR="00390A93" w:rsidRDefault="00390A93" w:rsidP="000013DF">
      <w:pPr>
        <w:pStyle w:val="BBHeading2"/>
      </w:pPr>
      <w:r>
        <w:t>Parties and Recitals</w:t>
      </w:r>
      <w:r w:rsidR="00EE0FD0">
        <w:t xml:space="preserve"> </w:t>
      </w:r>
    </w:p>
    <w:p w14:paraId="68B25632" w14:textId="2ACC9749" w:rsidR="00361750" w:rsidRDefault="00390A93" w:rsidP="00361750">
      <w:pPr>
        <w:pStyle w:val="BBBodyTextIndent1"/>
      </w:pPr>
      <w:r w:rsidRPr="000013DF">
        <w:rPr>
          <w:b/>
          <w:bCs/>
        </w:rPr>
        <w:t>Purpose</w:t>
      </w:r>
      <w:r>
        <w:t xml:space="preserve">: </w:t>
      </w:r>
      <w:r w:rsidR="004063FB" w:rsidRPr="004063FB">
        <w:t xml:space="preserve">The Recitals are an introductory section providing context to the Deed. They record the identity and role of the Beneficiary; the Contractor's agreement with the Employer to carry out and complete the design and construction of the Works under the </w:t>
      </w:r>
      <w:r w:rsidR="00D769F4">
        <w:t>EPC Contract</w:t>
      </w:r>
      <w:r w:rsidR="004063FB" w:rsidRPr="004063FB">
        <w:t>; the Sub-Contractor's agreement with the Contractor to carry out and complete the Sub-Contract Works under the Sub-Contract; and the requirement that the Sub-Contractor enters into this Deed with the Beneficiary in relation to the Sub-Contract Works.</w:t>
      </w:r>
    </w:p>
    <w:p w14:paraId="1CA1A30B" w14:textId="77777777" w:rsidR="00361750" w:rsidRPr="00FF7100" w:rsidRDefault="00361750" w:rsidP="00361750">
      <w:pPr>
        <w:pStyle w:val="BBBodyTextIndent1"/>
        <w:rPr>
          <w:b/>
          <w:bCs/>
        </w:rPr>
      </w:pPr>
      <w:r w:rsidRPr="00FF7100">
        <w:rPr>
          <w:b/>
          <w:bCs/>
        </w:rPr>
        <w:t>Action Required:</w:t>
      </w:r>
    </w:p>
    <w:p w14:paraId="0F3DBFA3" w14:textId="0E4ED1A1" w:rsidR="00B77237" w:rsidRDefault="00B77237" w:rsidP="00B77237">
      <w:pPr>
        <w:pStyle w:val="BulletNew"/>
      </w:pPr>
      <w:r>
        <w:t>Insert the full legal details of all</w:t>
      </w:r>
      <w:r w:rsidR="00017A25">
        <w:t xml:space="preserve">, </w:t>
      </w:r>
      <w:r>
        <w:t>including their legal form, company registration number, and registered office address.</w:t>
      </w:r>
    </w:p>
    <w:p w14:paraId="4EED9765" w14:textId="77777777" w:rsidR="00B77237" w:rsidRDefault="00B77237" w:rsidP="00B77237">
      <w:pPr>
        <w:pStyle w:val="BulletNew"/>
      </w:pPr>
      <w:r>
        <w:t>Insert a description of the Beneficiary's role and interest in Recital (A), identifying clearly why the Beneficiary is entitled to the benefit of this Deed (e.g. as Employer).</w:t>
      </w:r>
    </w:p>
    <w:p w14:paraId="0BD5ECF7" w14:textId="49401548" w:rsidR="00B77237" w:rsidRDefault="00B77237" w:rsidP="00B77237">
      <w:pPr>
        <w:pStyle w:val="BulletNew"/>
      </w:pPr>
      <w:r>
        <w:t xml:space="preserve">Confirm whether the Employer entity is the CEG directly or a </w:t>
      </w:r>
      <w:proofErr w:type="gramStart"/>
      <w:r>
        <w:t>JVCO, and</w:t>
      </w:r>
      <w:proofErr w:type="gramEnd"/>
      <w:r>
        <w:t xml:space="preserve"> update the </w:t>
      </w:r>
      <w:r w:rsidR="00017A25">
        <w:t>Template</w:t>
      </w:r>
      <w:r>
        <w:t xml:space="preserve"> accordingly.</w:t>
      </w:r>
    </w:p>
    <w:p w14:paraId="46E45515" w14:textId="283847FA" w:rsidR="00361750" w:rsidRDefault="00361750" w:rsidP="00361750">
      <w:pPr>
        <w:pStyle w:val="BBHeading2"/>
      </w:pPr>
      <w:r>
        <w:t>Clause 1: Definitions and Interpretation</w:t>
      </w:r>
    </w:p>
    <w:p w14:paraId="40A0E543" w14:textId="519BE7F9" w:rsidR="00361750" w:rsidRDefault="00361750" w:rsidP="00361750">
      <w:pPr>
        <w:pStyle w:val="BBBodyTextIndent1"/>
      </w:pPr>
      <w:r w:rsidRPr="00FF7100">
        <w:rPr>
          <w:b/>
          <w:bCs/>
        </w:rPr>
        <w:t>Purpose:</w:t>
      </w:r>
      <w:r>
        <w:t xml:space="preserve"> </w:t>
      </w:r>
      <w:r w:rsidR="00BD74DB" w:rsidRPr="00BD74DB">
        <w:t>This clause establishes clear, consistent meanings for key terms used throughout the Agreement and sets out rules of interpretation. All defined terms are capitalised (e.g. "Good Industry Practice").</w:t>
      </w:r>
    </w:p>
    <w:p w14:paraId="778824FC" w14:textId="77777777" w:rsidR="00361750" w:rsidRPr="00FF7100" w:rsidRDefault="00361750" w:rsidP="00EE5A2C">
      <w:pPr>
        <w:pStyle w:val="BBBodyTextIndent1"/>
        <w:keepNext/>
        <w:rPr>
          <w:b/>
          <w:bCs/>
        </w:rPr>
      </w:pPr>
      <w:r w:rsidRPr="00FF7100">
        <w:rPr>
          <w:b/>
          <w:bCs/>
        </w:rPr>
        <w:t>Action Required:</w:t>
      </w:r>
    </w:p>
    <w:p w14:paraId="12E14DB0" w14:textId="77777777" w:rsidR="00011498" w:rsidRDefault="00011498" w:rsidP="00011498">
      <w:pPr>
        <w:pStyle w:val="BulletNew"/>
      </w:pPr>
      <w:r>
        <w:t xml:space="preserve">Review all definitions and insert relevant information where there are [ ]. </w:t>
      </w:r>
    </w:p>
    <w:p w14:paraId="686E0D16" w14:textId="77777777" w:rsidR="00011498" w:rsidRDefault="00011498" w:rsidP="00011498">
      <w:pPr>
        <w:pStyle w:val="BulletNew"/>
      </w:pPr>
      <w:r>
        <w:t>Review all definitions to ensure they are appropriate for the Template.</w:t>
      </w:r>
    </w:p>
    <w:p w14:paraId="5455FD68" w14:textId="074D0513" w:rsidR="00CE2432" w:rsidRDefault="00361750" w:rsidP="00CE2432">
      <w:pPr>
        <w:pStyle w:val="BBBodyTextIndent1"/>
      </w:pPr>
      <w:r w:rsidRPr="00FF7100">
        <w:rPr>
          <w:b/>
          <w:bCs/>
        </w:rPr>
        <w:t>Guidance for CEG:</w:t>
      </w:r>
      <w:r w:rsidR="00BC7693">
        <w:rPr>
          <w:b/>
          <w:bCs/>
        </w:rPr>
        <w:t xml:space="preserve"> </w:t>
      </w:r>
      <w:r w:rsidR="00CE2432" w:rsidRPr="00CE2432">
        <w:t xml:space="preserve">There are two limitation periods in the Deed which run from different trigger dates. The standard </w:t>
      </w:r>
      <w:r w:rsidR="00823CCA">
        <w:t>l</w:t>
      </w:r>
      <w:r w:rsidR="00CE2432" w:rsidRPr="00CE2432">
        <w:t xml:space="preserve">imitation </w:t>
      </w:r>
      <w:r w:rsidR="00823CCA">
        <w:t>p</w:t>
      </w:r>
      <w:r w:rsidR="00CE2432" w:rsidRPr="00CE2432">
        <w:t>eriod (</w:t>
      </w:r>
      <w:r w:rsidR="00CF3556">
        <w:t>6</w:t>
      </w:r>
      <w:r w:rsidR="00CF3556" w:rsidRPr="00CE2432">
        <w:t xml:space="preserve"> </w:t>
      </w:r>
      <w:r w:rsidR="00CE2432" w:rsidRPr="00CE2432">
        <w:t xml:space="preserve">years </w:t>
      </w:r>
      <w:r w:rsidR="00CE2432" w:rsidRPr="00CF3556">
        <w:t>from Completion</w:t>
      </w:r>
      <w:r w:rsidR="00CF3556" w:rsidRPr="00CF3556">
        <w:t xml:space="preserve"> under the </w:t>
      </w:r>
      <w:r w:rsidR="00D769F4">
        <w:t>EPC Contract</w:t>
      </w:r>
      <w:r w:rsidR="00CE2432" w:rsidRPr="00CF3556">
        <w:t>) governs most claims. A separate 15-year period</w:t>
      </w:r>
      <w:r w:rsidR="00CE2432" w:rsidRPr="00CE2432">
        <w:t xml:space="preserve"> applies to claims under clause 2.</w:t>
      </w:r>
      <w:r w:rsidR="00456B6E">
        <w:t>2</w:t>
      </w:r>
      <w:r w:rsidR="00254866">
        <w:t xml:space="preserve"> </w:t>
      </w:r>
      <w:r w:rsidR="00CE2432" w:rsidRPr="00CE2432">
        <w:t>relating to Building Safety Laws, running from the Notice of Making Good</w:t>
      </w:r>
      <w:r w:rsidR="00254866">
        <w:t xml:space="preserve"> (as defined in the </w:t>
      </w:r>
      <w:r w:rsidR="00D769F4">
        <w:t>EPC Contract</w:t>
      </w:r>
      <w:r w:rsidR="00254866">
        <w:t>)</w:t>
      </w:r>
      <w:r w:rsidR="00CE2432" w:rsidRPr="00CE2432">
        <w:t xml:space="preserve">. These periods </w:t>
      </w:r>
      <w:r w:rsidR="00254866">
        <w:t>should ideally</w:t>
      </w:r>
      <w:r w:rsidR="00254866" w:rsidRPr="00CE2432">
        <w:t xml:space="preserve"> </w:t>
      </w:r>
      <w:r w:rsidR="00CE2432" w:rsidRPr="00CE2432">
        <w:t xml:space="preserve">be consistent with the equivalent provisions in the EPC Contract </w:t>
      </w:r>
      <w:r w:rsidR="007C3A81">
        <w:t>-</w:t>
      </w:r>
      <w:r w:rsidR="00CE2432" w:rsidRPr="00CE2432">
        <w:t xml:space="preserve"> any inconsistency could leave gaps in the Beneficiary's ability to bring a claim</w:t>
      </w:r>
      <w:r w:rsidR="00254866">
        <w:t xml:space="preserve"> against both the Contractor and a Sub-Contractor</w:t>
      </w:r>
      <w:r w:rsidR="00CE2432" w:rsidRPr="00CE2432">
        <w:t>. Check this alignment carefully before execution.</w:t>
      </w:r>
    </w:p>
    <w:p w14:paraId="1AE1BF2A" w14:textId="4ADCB80C" w:rsidR="00361750" w:rsidRDefault="00361750" w:rsidP="002E2351">
      <w:pPr>
        <w:pStyle w:val="BBHeading2"/>
      </w:pPr>
      <w:r>
        <w:t xml:space="preserve">Clause 2: </w:t>
      </w:r>
      <w:r w:rsidR="00CB650C">
        <w:t xml:space="preserve">Standard of </w:t>
      </w:r>
      <w:r w:rsidR="00CB650C" w:rsidRPr="00C84C46">
        <w:t>Care</w:t>
      </w:r>
      <w:r w:rsidR="00CB650C" w:rsidRPr="00C84C46">
        <w:rPr>
          <w:color w:val="FF0000"/>
        </w:rPr>
        <w:t xml:space="preserve"> COMMONLY NEGOTIATED</w:t>
      </w:r>
    </w:p>
    <w:p w14:paraId="616F5B70" w14:textId="3AE6882D" w:rsidR="00361750" w:rsidRDefault="00361750" w:rsidP="00361750">
      <w:pPr>
        <w:pStyle w:val="BBBodyTextIndent1"/>
      </w:pPr>
      <w:bookmarkStart w:id="5" w:name="_Hlk225426496"/>
      <w:bookmarkStart w:id="6" w:name="_Hlk225419717"/>
      <w:r w:rsidRPr="005179B8">
        <w:rPr>
          <w:b/>
          <w:bCs/>
        </w:rPr>
        <w:t>Purpose:</w:t>
      </w:r>
      <w:r>
        <w:t xml:space="preserve"> </w:t>
      </w:r>
      <w:r w:rsidR="00885A97" w:rsidRPr="00885A97">
        <w:t>This clause imposes the Sub-Contractor's core performance warranties, on which any direct claim by the Beneficiary against the Sub-Contractor will be founded</w:t>
      </w:r>
      <w:r>
        <w:t>.</w:t>
      </w:r>
    </w:p>
    <w:bookmarkEnd w:id="5"/>
    <w:p w14:paraId="0813C5D6" w14:textId="77777777" w:rsidR="00361750" w:rsidRPr="005179B8" w:rsidRDefault="00361750" w:rsidP="00361750">
      <w:pPr>
        <w:pStyle w:val="BBBodyTextIndent1"/>
        <w:rPr>
          <w:b/>
          <w:bCs/>
        </w:rPr>
      </w:pPr>
      <w:r w:rsidRPr="005179B8">
        <w:rPr>
          <w:b/>
          <w:bCs/>
        </w:rPr>
        <w:t>Action Required:</w:t>
      </w:r>
    </w:p>
    <w:p w14:paraId="0A9EB33E" w14:textId="52923952" w:rsidR="00361750" w:rsidRDefault="005D1411" w:rsidP="005D1411">
      <w:pPr>
        <w:pStyle w:val="BulletNew"/>
      </w:pPr>
      <w:bookmarkStart w:id="7" w:name="_Hlk225453746"/>
      <w:r w:rsidRPr="005D1411">
        <w:t>Insert the relevant renewable energy system type in clause 2.</w:t>
      </w:r>
      <w:r w:rsidR="00456B6E">
        <w:t>1.</w:t>
      </w:r>
      <w:r w:rsidRPr="005D1411">
        <w:t>2.2</w:t>
      </w:r>
      <w:bookmarkEnd w:id="7"/>
      <w:r w:rsidRPr="005D1411">
        <w:t>.</w:t>
      </w:r>
    </w:p>
    <w:p w14:paraId="0E822FC4" w14:textId="7E39EBB5" w:rsidR="00D46BF1" w:rsidRDefault="00361750" w:rsidP="00D46BF1">
      <w:pPr>
        <w:pStyle w:val="BBBodyTextIndent1"/>
      </w:pPr>
      <w:r w:rsidRPr="005179B8">
        <w:rPr>
          <w:b/>
          <w:bCs/>
        </w:rPr>
        <w:t>Guidance for CEG:</w:t>
      </w:r>
      <w:r w:rsidR="00BC7693">
        <w:rPr>
          <w:b/>
          <w:bCs/>
        </w:rPr>
        <w:t xml:space="preserve"> </w:t>
      </w:r>
      <w:bookmarkStart w:id="8" w:name="_Hlk225453209"/>
      <w:r w:rsidR="00D46BF1">
        <w:t>The warranty in clause 2.</w:t>
      </w:r>
      <w:r w:rsidR="00456B6E">
        <w:t>1.</w:t>
      </w:r>
      <w:r w:rsidR="00D46BF1">
        <w:t xml:space="preserve">2 is a Good Industry Practice standard </w:t>
      </w:r>
      <w:r w:rsidR="007C3A81">
        <w:t>-</w:t>
      </w:r>
      <w:r w:rsidR="00D46BF1">
        <w:t xml:space="preserve"> it is not a fitness for purpose obligation. The EPC Contract imposes a fitness for purpose obligation on the Contractor, but that obligation does not flow down </w:t>
      </w:r>
      <w:r w:rsidR="00D46BF1">
        <w:lastRenderedPageBreak/>
        <w:t>automatically to the Sub-Contractor through the Deed. If a higher standard is required from the Sub-Contractor, this must be negotiated expressly</w:t>
      </w:r>
      <w:r w:rsidR="00017A25">
        <w:t xml:space="preserve">, for example if the </w:t>
      </w:r>
      <w:r w:rsidR="00D46BF1">
        <w:t xml:space="preserve">Sub-Contract Works are </w:t>
      </w:r>
      <w:proofErr w:type="gramStart"/>
      <w:r w:rsidR="00D46BF1">
        <w:t>design-critical</w:t>
      </w:r>
      <w:proofErr w:type="gramEnd"/>
      <w:r w:rsidR="00D46BF1">
        <w:t>.</w:t>
      </w:r>
      <w:bookmarkEnd w:id="8"/>
    </w:p>
    <w:p w14:paraId="45798BE9" w14:textId="21EF7C63" w:rsidR="00361750" w:rsidRDefault="00D46BF1" w:rsidP="00D46BF1">
      <w:pPr>
        <w:pStyle w:val="BBBodyTextIndent1"/>
      </w:pPr>
      <w:bookmarkStart w:id="9" w:name="_Hlk225423238"/>
      <w:r>
        <w:t>The Building Safety Laws warranty in clause 2.</w:t>
      </w:r>
      <w:r w:rsidR="00456B6E">
        <w:t>2</w:t>
      </w:r>
      <w:r>
        <w:t xml:space="preserve"> is a continuing obligation </w:t>
      </w:r>
      <w:r w:rsidR="007C3A81">
        <w:t>-</w:t>
      </w:r>
      <w:r>
        <w:t xml:space="preserve"> it applies throughout the duration of the Deed, not just at the time of carrying out the works. This mirrors the obligation imposed on the Contractor under the EPC Contract and creates a consistent chain of Building Safety Laws liability down the supply chain</w:t>
      </w:r>
      <w:bookmarkEnd w:id="6"/>
      <w:r>
        <w:t>.</w:t>
      </w:r>
    </w:p>
    <w:bookmarkEnd w:id="9"/>
    <w:p w14:paraId="62F946A1" w14:textId="0BFF0017" w:rsidR="00361750" w:rsidRDefault="00361750" w:rsidP="00361750">
      <w:pPr>
        <w:pStyle w:val="BBHeading2"/>
      </w:pPr>
      <w:r>
        <w:t xml:space="preserve">Clause 3: </w:t>
      </w:r>
      <w:r w:rsidR="00AB3F9E" w:rsidRPr="00C84C46">
        <w:t>Materials</w:t>
      </w:r>
      <w:r w:rsidR="00AB3F9E" w:rsidRPr="00C84C46">
        <w:rPr>
          <w:color w:val="FF0000"/>
        </w:rPr>
        <w:t xml:space="preserve"> COMMONLY NEGOTIATED</w:t>
      </w:r>
    </w:p>
    <w:p w14:paraId="1017784A" w14:textId="797A2C22" w:rsidR="00361750" w:rsidRDefault="00361750" w:rsidP="00361750">
      <w:pPr>
        <w:pStyle w:val="BBBodyTextIndent1"/>
      </w:pPr>
      <w:r w:rsidRPr="005179B8">
        <w:rPr>
          <w:b/>
          <w:bCs/>
        </w:rPr>
        <w:t>Purpose:</w:t>
      </w:r>
      <w:r>
        <w:t xml:space="preserve"> </w:t>
      </w:r>
      <w:bookmarkStart w:id="10" w:name="_Hlk225423608"/>
      <w:r w:rsidR="00482164" w:rsidRPr="00482164">
        <w:t>This clause provides the Beneficiary with a direct warranty against the use of Prohibited Materials in the Sub-Contract Works.</w:t>
      </w:r>
    </w:p>
    <w:p w14:paraId="46C338B0" w14:textId="1DDC947D" w:rsidR="00361750" w:rsidRDefault="00361750" w:rsidP="005179B8">
      <w:pPr>
        <w:pStyle w:val="BBBodyTextIndent1"/>
      </w:pPr>
      <w:r w:rsidRPr="005179B8">
        <w:rPr>
          <w:b/>
          <w:bCs/>
        </w:rPr>
        <w:t>Guidance for CEG:</w:t>
      </w:r>
      <w:r w:rsidR="00BC7693">
        <w:rPr>
          <w:b/>
          <w:bCs/>
        </w:rPr>
        <w:t xml:space="preserve"> </w:t>
      </w:r>
      <w:r w:rsidR="00CC5C4D" w:rsidRPr="00CC5C4D">
        <w:t>The definition of Prohibited Materials is deliberately broad and is consistent with the equivalent definition used in the</w:t>
      </w:r>
      <w:r w:rsidR="007C3A81">
        <w:t xml:space="preserve"> template</w:t>
      </w:r>
      <w:r w:rsidR="00CC5C4D" w:rsidRPr="00CC5C4D">
        <w:t xml:space="preserve"> EPC Contract</w:t>
      </w:r>
      <w:r w:rsidR="007C3A81">
        <w:t xml:space="preserve"> in this suite of documents</w:t>
      </w:r>
      <w:r w:rsidR="00CC5C4D" w:rsidRPr="00CC5C4D">
        <w:t xml:space="preserve">. </w:t>
      </w:r>
      <w:r w:rsidR="00017A25">
        <w:t xml:space="preserve">It </w:t>
      </w:r>
      <w:r w:rsidR="00CC5C4D" w:rsidRPr="00CC5C4D">
        <w:t xml:space="preserve">is designed to capture not only materials that are known to be </w:t>
      </w:r>
      <w:r w:rsidR="00017A25" w:rsidRPr="00CC5C4D">
        <w:t>harmful</w:t>
      </w:r>
      <w:r w:rsidR="00CC5C4D" w:rsidRPr="00CC5C4D">
        <w:t xml:space="preserve"> at the time of use, but also those that subsequently become known or suspected to be so</w:t>
      </w:r>
      <w:r w:rsidR="00017A25">
        <w:t>.</w:t>
      </w:r>
    </w:p>
    <w:bookmarkEnd w:id="10"/>
    <w:p w14:paraId="4A62997E" w14:textId="1F6899C0" w:rsidR="00361750" w:rsidRDefault="00361750" w:rsidP="00361750">
      <w:pPr>
        <w:pStyle w:val="BBHeading2"/>
      </w:pPr>
      <w:r>
        <w:t>Clause 4:</w:t>
      </w:r>
      <w:r w:rsidR="00CC5C4D">
        <w:t xml:space="preserve"> Copyright Licence</w:t>
      </w:r>
      <w:r w:rsidR="0013102E" w:rsidRPr="0013102E">
        <w:rPr>
          <w:color w:val="FF0000"/>
        </w:rPr>
        <w:t xml:space="preserve"> </w:t>
      </w:r>
      <w:r w:rsidR="0013102E" w:rsidRPr="00EF7F83">
        <w:rPr>
          <w:color w:val="FF0000"/>
        </w:rPr>
        <w:t>COMMONLY NEGOTIATED</w:t>
      </w:r>
      <w:r w:rsidR="003E10E7">
        <w:rPr>
          <w:color w:val="FF0000"/>
        </w:rPr>
        <w:t xml:space="preserve"> AND HIGH PRIORITY</w:t>
      </w:r>
    </w:p>
    <w:p w14:paraId="43A763A5" w14:textId="67C2F267" w:rsidR="00361750" w:rsidRDefault="00361750" w:rsidP="00361750">
      <w:pPr>
        <w:pStyle w:val="BBBodyTextIndent1"/>
      </w:pPr>
      <w:r w:rsidRPr="005179B8">
        <w:rPr>
          <w:b/>
          <w:bCs/>
        </w:rPr>
        <w:t>Purpose:</w:t>
      </w:r>
      <w:r>
        <w:t xml:space="preserve"> </w:t>
      </w:r>
      <w:bookmarkStart w:id="11" w:name="_Hlk225423665"/>
      <w:bookmarkStart w:id="12" w:name="_Hlk225425604"/>
      <w:r w:rsidR="00DC1BAB" w:rsidRPr="00DC1BAB">
        <w:t>This clause grants the Beneficiary rights</w:t>
      </w:r>
      <w:r w:rsidR="00716E85">
        <w:t xml:space="preserve"> via a licence</w:t>
      </w:r>
      <w:r w:rsidR="00DC1BAB" w:rsidRPr="00DC1BAB">
        <w:t xml:space="preserve"> to use the Sub-Contractor's designs and documents in connection with the Works and the Site.</w:t>
      </w:r>
      <w:r w:rsidR="0013102E">
        <w:t xml:space="preserve"> The licence is non-exclusive, irrevocable, transferable and royalty-free.</w:t>
      </w:r>
    </w:p>
    <w:bookmarkEnd w:id="11"/>
    <w:p w14:paraId="17D768EB" w14:textId="402BE6EE" w:rsidR="00C84C46" w:rsidRDefault="00361750" w:rsidP="00C84C46">
      <w:pPr>
        <w:pStyle w:val="BBBodyTextIndent1"/>
      </w:pPr>
      <w:r w:rsidRPr="005179B8">
        <w:rPr>
          <w:b/>
          <w:bCs/>
        </w:rPr>
        <w:t>Guidance for CEG:</w:t>
      </w:r>
      <w:r w:rsidR="00BC7693">
        <w:rPr>
          <w:b/>
          <w:bCs/>
        </w:rPr>
        <w:t xml:space="preserve"> </w:t>
      </w:r>
      <w:r w:rsidR="00C84C46" w:rsidRPr="00C84C46">
        <w:t>Although Intellectual Property Rights in the Copyright Works remain with the Sub-Contractor, the licence granted to the Beneficiary survives any termination of the Deed</w:t>
      </w:r>
      <w:r w:rsidR="00017A25">
        <w:t xml:space="preserve">. It </w:t>
      </w:r>
      <w:r w:rsidR="00C84C46" w:rsidRPr="00C84C46">
        <w:t>can be passed to a Funder, forward purchaser, or successor owner without further consent</w:t>
      </w:r>
      <w:r w:rsidR="0013102E">
        <w:t xml:space="preserve"> if the benefit of this collateral warranty is assigned</w:t>
      </w:r>
      <w:r w:rsidR="00C84C46" w:rsidRPr="00C84C46">
        <w:t>. This is an important protection that should be confirmed as being in place before the Beneficiary relies on any of the Sub-Contractor's design documents. Where Intellectual Property Rights in any Copyright Works belong to a third party (for example, a specialist sub-sub-contractor), the Sub-Contractor is obliged to procure an equivalent licence from that party. Ensure this obligation is reflected in the Sub-Contractor's own sub-contracts.</w:t>
      </w:r>
    </w:p>
    <w:p w14:paraId="78404C4B" w14:textId="2E1BED24" w:rsidR="0013102E" w:rsidRPr="00C84C46" w:rsidRDefault="0013102E" w:rsidP="0013102E">
      <w:pPr>
        <w:pStyle w:val="BBBodyTextIndent1"/>
      </w:pPr>
      <w:r>
        <w:t xml:space="preserve">Clause 4.4 contains a warranty that the use of the Copyright Works will not breach the rights of third parties, so the </w:t>
      </w:r>
      <w:r w:rsidRPr="00DC1BAB">
        <w:t>Beneficiary</w:t>
      </w:r>
      <w:r>
        <w:t xml:space="preserve"> will have a claim for breach of contract in the event it is subject to a claim for a third party for breach of copyright. The indemnity is included because it provides an extra level of protection- the type of losses that the </w:t>
      </w:r>
      <w:r w:rsidRPr="00DC1BAB">
        <w:t>Beneficiary</w:t>
      </w:r>
      <w:r>
        <w:t xml:space="preserve"> may experience as a result of a breach of copyright claim are not necessarily foreseeable at the point the contract is entered into and therefore may not otherwise be recoverable under a breach of warranty claim, whereas this would not prevent a claim under an indemnity. Indemnities are often a point of contention for sub-contractors, but they are in a better position to manage the risk here as the party responsible for preparing the design and providing the Copyright Works. </w:t>
      </w:r>
    </w:p>
    <w:p w14:paraId="2A8D6833" w14:textId="7B7B37D1" w:rsidR="00C84C46" w:rsidRDefault="00C84C46" w:rsidP="00C84C46">
      <w:pPr>
        <w:pStyle w:val="BBBodyTextIndent1"/>
      </w:pPr>
      <w:r w:rsidRPr="00C84C46">
        <w:t xml:space="preserve">The moral rights waiver in this clause is a practical step </w:t>
      </w:r>
      <w:r w:rsidR="007C3A81">
        <w:t>-</w:t>
      </w:r>
      <w:r w:rsidRPr="00C84C46">
        <w:t xml:space="preserve"> without it, the Sub-Contractor could in principle object to modifications made to its designs by the Beneficiary or a successor employer.</w:t>
      </w:r>
    </w:p>
    <w:bookmarkEnd w:id="12"/>
    <w:p w14:paraId="54D3FEAE" w14:textId="0C4E2894" w:rsidR="00361750" w:rsidRDefault="00361750" w:rsidP="00C84C46">
      <w:pPr>
        <w:pStyle w:val="BBHeading2"/>
      </w:pPr>
      <w:r>
        <w:lastRenderedPageBreak/>
        <w:t xml:space="preserve">Clause 5: </w:t>
      </w:r>
      <w:r w:rsidR="00C84C46">
        <w:t>Professional Indemnity Insurance</w:t>
      </w:r>
      <w:r>
        <w:t xml:space="preserve"> </w:t>
      </w:r>
      <w:bookmarkStart w:id="13" w:name="_Hlk225428393"/>
      <w:r w:rsidRPr="00EF7F83">
        <w:rPr>
          <w:color w:val="FF0000"/>
        </w:rPr>
        <w:t>COMMONLY NEGOTIATED</w:t>
      </w:r>
      <w:bookmarkEnd w:id="13"/>
    </w:p>
    <w:p w14:paraId="0AE2A176" w14:textId="541ECA44" w:rsidR="00361750" w:rsidRDefault="00361750" w:rsidP="003042D3">
      <w:pPr>
        <w:pStyle w:val="BBBodyTextIndent1"/>
      </w:pPr>
      <w:r w:rsidRPr="005179B8">
        <w:rPr>
          <w:b/>
          <w:bCs/>
        </w:rPr>
        <w:t xml:space="preserve">Purpose: </w:t>
      </w:r>
      <w:r w:rsidR="003042D3" w:rsidRPr="003042D3">
        <w:t>This clause imposes ongoing insurance obligations on the Sub-Contractor for the duration of the Deed, protecting the Beneficiary's ability to recover under the warranties given.</w:t>
      </w:r>
    </w:p>
    <w:p w14:paraId="5D7E48D2" w14:textId="4497F219" w:rsidR="003042D3" w:rsidRDefault="003042D3" w:rsidP="003042D3">
      <w:pPr>
        <w:pStyle w:val="BBBodyTextIndent1"/>
        <w:rPr>
          <w:b/>
          <w:bCs/>
        </w:rPr>
      </w:pPr>
      <w:r w:rsidRPr="003042D3">
        <w:rPr>
          <w:b/>
          <w:bCs/>
        </w:rPr>
        <w:t>Action Required:</w:t>
      </w:r>
    </w:p>
    <w:p w14:paraId="610CB926" w14:textId="331F5398" w:rsidR="00132583" w:rsidRDefault="00132583" w:rsidP="00132583">
      <w:pPr>
        <w:pStyle w:val="BulletNew"/>
      </w:pPr>
      <w:r>
        <w:t>Insert the required minimum level of professional indemnity insurance in clause 5.1.1</w:t>
      </w:r>
      <w:r w:rsidR="0013102E">
        <w:t xml:space="preserve"> and confirm the basis of the insurance (for example, on </w:t>
      </w:r>
      <w:proofErr w:type="gramStart"/>
      <w:r w:rsidR="0013102E">
        <w:t>an each and every</w:t>
      </w:r>
      <w:proofErr w:type="gramEnd"/>
      <w:r w:rsidR="0013102E">
        <w:t xml:space="preserve"> claim basis,</w:t>
      </w:r>
      <w:r w:rsidR="004244B9">
        <w:t xml:space="preserve"> or in the aggregate)</w:t>
      </w:r>
      <w:r w:rsidR="0013102E">
        <w:t xml:space="preserve"> </w:t>
      </w:r>
    </w:p>
    <w:p w14:paraId="7C42FA79" w14:textId="3EACBB2E" w:rsidR="003042D3" w:rsidRPr="003042D3" w:rsidRDefault="00132583" w:rsidP="00132583">
      <w:pPr>
        <w:pStyle w:val="BulletNew"/>
      </w:pPr>
      <w:r>
        <w:t>Confirm the insurance period is appropriate and consistent with the equivalent obligations in the EPC Contract</w:t>
      </w:r>
      <w:r w:rsidR="004244B9">
        <w:t xml:space="preserve">, </w:t>
      </w:r>
      <w:r w:rsidR="00CF3556">
        <w:t>i.e. whether</w:t>
      </w:r>
      <w:r w:rsidR="004244B9">
        <w:t xml:space="preserve"> to have the insurance to be maintained for 6 years from </w:t>
      </w:r>
      <w:r w:rsidR="00CF3556">
        <w:t>Completion</w:t>
      </w:r>
      <w:r w:rsidR="004244B9">
        <w:t xml:space="preserve"> under the </w:t>
      </w:r>
      <w:r w:rsidR="00D769F4">
        <w:t>EPC Contract</w:t>
      </w:r>
      <w:r w:rsidR="004244B9">
        <w:t xml:space="preserve">, or for the 15 years from the issue of the Notice of Making Good under the </w:t>
      </w:r>
      <w:r w:rsidR="00D769F4">
        <w:t>EPC Contract</w:t>
      </w:r>
      <w:r w:rsidR="004244B9">
        <w:t>.</w:t>
      </w:r>
    </w:p>
    <w:p w14:paraId="5822D174" w14:textId="2BA51D57" w:rsidR="0015094A" w:rsidRDefault="00132583" w:rsidP="00361750">
      <w:pPr>
        <w:pStyle w:val="BBBodyTextIndent1"/>
      </w:pPr>
      <w:r>
        <w:rPr>
          <w:b/>
          <w:bCs/>
        </w:rPr>
        <w:t>Guidance for CEG:</w:t>
      </w:r>
      <w:r w:rsidR="00017A25">
        <w:rPr>
          <w:b/>
          <w:bCs/>
        </w:rPr>
        <w:t xml:space="preserve"> </w:t>
      </w:r>
      <w:r w:rsidR="00017A25">
        <w:t xml:space="preserve">Because a </w:t>
      </w:r>
      <w:r w:rsidR="0015094A" w:rsidRPr="0015094A">
        <w:t>warranty is only as valuable as the Sub-Contractor's ability to satisfy a judgment</w:t>
      </w:r>
      <w:r w:rsidR="00017A25">
        <w:t xml:space="preserve">, the </w:t>
      </w:r>
      <w:r w:rsidR="0015094A" w:rsidRPr="0015094A">
        <w:t xml:space="preserve">insurance obligation </w:t>
      </w:r>
      <w:r w:rsidR="00017A25">
        <w:t xml:space="preserve">is </w:t>
      </w:r>
      <w:r w:rsidR="0015094A" w:rsidRPr="0015094A">
        <w:t xml:space="preserve">a critical </w:t>
      </w:r>
      <w:r w:rsidR="00017A25">
        <w:t xml:space="preserve">and </w:t>
      </w:r>
      <w:r w:rsidR="0015094A" w:rsidRPr="0015094A">
        <w:t>practical protection. The minimum level should be set having regard to the Sub-Contract scope and value</w:t>
      </w:r>
      <w:r w:rsidR="00085B83">
        <w:t xml:space="preserve"> and potential impact on the Development</w:t>
      </w:r>
      <w:r w:rsidR="0015094A" w:rsidRPr="0015094A">
        <w:t xml:space="preserve">. </w:t>
      </w:r>
    </w:p>
    <w:p w14:paraId="05D49173" w14:textId="5B7A7EAB" w:rsidR="00361750" w:rsidRPr="005179B8" w:rsidRDefault="0015094A" w:rsidP="0015094A">
      <w:pPr>
        <w:pStyle w:val="BBHeading2"/>
      </w:pPr>
      <w:r>
        <w:t>Clause 6: Substitution</w:t>
      </w:r>
      <w:r w:rsidR="00AD67DA">
        <w:t xml:space="preserve"> </w:t>
      </w:r>
    </w:p>
    <w:p w14:paraId="0E03049C" w14:textId="77777777" w:rsidR="00AB569F" w:rsidRDefault="00361750" w:rsidP="00AB569F">
      <w:pPr>
        <w:pStyle w:val="BBBodyTextIndent1"/>
      </w:pPr>
      <w:bookmarkStart w:id="14" w:name="_Hlk225425795"/>
      <w:r w:rsidRPr="005179B8">
        <w:rPr>
          <w:b/>
          <w:bCs/>
        </w:rPr>
        <w:t>Purpose:</w:t>
      </w:r>
      <w:r>
        <w:t xml:space="preserve"> </w:t>
      </w:r>
      <w:r w:rsidR="00AB569F">
        <w:t xml:space="preserve">This clause gives the Beneficiary the ability to step into the Contractor's position under the Sub-Contract and maintain continuity of the Sub-Contract Works </w:t>
      </w:r>
      <w:proofErr w:type="gramStart"/>
      <w:r w:rsidR="00AB569F">
        <w:t>in the event that</w:t>
      </w:r>
      <w:proofErr w:type="gramEnd"/>
      <w:r w:rsidR="00AB569F">
        <w:t xml:space="preserve"> the relationship between the Contractor and the Sub-Contractor breaks down.</w:t>
      </w:r>
    </w:p>
    <w:p w14:paraId="50BAC1F8" w14:textId="3B1FF2B9" w:rsidR="00C13234" w:rsidRDefault="00AB569F" w:rsidP="00AB569F">
      <w:pPr>
        <w:pStyle w:val="BBBodyTextIndent1"/>
      </w:pPr>
      <w:r w:rsidRPr="00AB569F">
        <w:rPr>
          <w:b/>
          <w:bCs/>
        </w:rPr>
        <w:t xml:space="preserve">Guidance for CEG: </w:t>
      </w:r>
      <w:r>
        <w:t>This is one of the most important protections in the Deed and</w:t>
      </w:r>
      <w:r w:rsidR="00C13234">
        <w:t xml:space="preserve"> you</w:t>
      </w:r>
      <w:r>
        <w:t xml:space="preserve"> should </w:t>
      </w:r>
      <w:r w:rsidR="00C13234">
        <w:t xml:space="preserve">ensure that you understand it before any </w:t>
      </w:r>
      <w:r>
        <w:t>enforcement scenario arises</w:t>
      </w:r>
      <w:r w:rsidR="00C13234">
        <w:t xml:space="preserve">: </w:t>
      </w:r>
    </w:p>
    <w:p w14:paraId="24D4817B" w14:textId="478C5C91" w:rsidR="00AB569F" w:rsidRDefault="00C13234" w:rsidP="00C13234">
      <w:pPr>
        <w:pStyle w:val="BulletNew"/>
      </w:pPr>
      <w:r>
        <w:t>T</w:t>
      </w:r>
      <w:r w:rsidR="00AB569F">
        <w:t xml:space="preserve">ime-critical </w:t>
      </w:r>
      <w:r w:rsidR="007C3A81">
        <w:t>-</w:t>
      </w:r>
      <w:r w:rsidR="00AB569F">
        <w:t xml:space="preserve"> the Beneficiary must act within the 21-day notice period, and the Sub-Contractor is entitled to proceed with termination of the Sub-Contract if no substitution notice is received in time. </w:t>
      </w:r>
      <w:r>
        <w:t>T</w:t>
      </w:r>
      <w:r w:rsidR="00AB569F">
        <w:t>he substitution right is only of value if it can be exercised</w:t>
      </w:r>
      <w:r>
        <w:t xml:space="preserve"> i.e. if the Beneficiary (or any Funder whose step-in rights are engaged) has the practical and financial capacity to assume the Contractor's payment obligations. </w:t>
      </w:r>
    </w:p>
    <w:p w14:paraId="077816FE" w14:textId="0772B487" w:rsidR="00AB569F" w:rsidRDefault="007C3A81" w:rsidP="00C13234">
      <w:pPr>
        <w:pStyle w:val="BulletNew"/>
      </w:pPr>
      <w:r>
        <w:t>Pre-emptive</w:t>
      </w:r>
      <w:r w:rsidR="00C13234">
        <w:t xml:space="preserve"> - </w:t>
      </w:r>
      <w:r w:rsidR="00AB569F">
        <w:t xml:space="preserve">the Beneficiary </w:t>
      </w:r>
      <w:r w:rsidR="00C13234">
        <w:t xml:space="preserve">can </w:t>
      </w:r>
      <w:r w:rsidR="00AB569F">
        <w:t xml:space="preserve">trigger </w:t>
      </w:r>
      <w:r w:rsidR="00C13234">
        <w:t xml:space="preserve">the clause </w:t>
      </w:r>
      <w:r w:rsidR="00AB569F">
        <w:t xml:space="preserve">before the Sub-Contractor's termination right has technically arisen. This is important in circumstances where the Employer has terminated the EPC </w:t>
      </w:r>
      <w:proofErr w:type="gramStart"/>
      <w:r w:rsidR="00AB569F">
        <w:t>Contract</w:t>
      </w:r>
      <w:proofErr w:type="gramEnd"/>
      <w:r w:rsidR="00AB569F">
        <w:t xml:space="preserve"> and the Beneficiary wishes to continue with the Sub-Contract Works directly. The Sub-Contractor is not entitled to question whether the trigger for the substitution has </w:t>
      </w:r>
      <w:proofErr w:type="gramStart"/>
      <w:r w:rsidR="00AB569F">
        <w:t>actually occurred</w:t>
      </w:r>
      <w:proofErr w:type="gramEnd"/>
      <w:r w:rsidR="00AB569F">
        <w:t xml:space="preserve"> </w:t>
      </w:r>
      <w:r>
        <w:t>-</w:t>
      </w:r>
      <w:r w:rsidR="00AB569F">
        <w:t xml:space="preserve"> it is simply bound to comply with a validly issued notice.</w:t>
      </w:r>
    </w:p>
    <w:p w14:paraId="0D41D56E" w14:textId="2516B071" w:rsidR="00390A93" w:rsidRDefault="00AB569F" w:rsidP="00AB569F">
      <w:pPr>
        <w:pStyle w:val="BBBodyTextIndent1"/>
      </w:pPr>
      <w:r>
        <w:t>The 12-week backstop right to require a new direct agreement on the same terms as the Sub-Contract provides an important fallback if the Beneficiary fails to act within the initial 21-day window.</w:t>
      </w:r>
    </w:p>
    <w:bookmarkEnd w:id="14"/>
    <w:p w14:paraId="4BBDCF4C" w14:textId="32341FFF" w:rsidR="00DE11DE" w:rsidRDefault="00DE11DE" w:rsidP="00DE11DE">
      <w:pPr>
        <w:pStyle w:val="BBHeading2"/>
      </w:pPr>
      <w:r>
        <w:t>Clause 7: Assignment</w:t>
      </w:r>
    </w:p>
    <w:p w14:paraId="4BC67A6A" w14:textId="77777777" w:rsidR="00DE11DE" w:rsidRDefault="00DE11DE" w:rsidP="00DE11DE">
      <w:pPr>
        <w:pStyle w:val="BBBodyTextIndent1"/>
      </w:pPr>
      <w:bookmarkStart w:id="15" w:name="_Hlk225426081"/>
      <w:r w:rsidRPr="00DE11DE">
        <w:rPr>
          <w:b/>
          <w:bCs/>
        </w:rPr>
        <w:t>Purpose:</w:t>
      </w:r>
      <w:r>
        <w:t xml:space="preserve"> This clause permits the Beneficiary to assign its rights under the Deed without the Sub-Contractor's consent, subject to a cap of two assignments. </w:t>
      </w:r>
    </w:p>
    <w:p w14:paraId="18530C40" w14:textId="6552922B" w:rsidR="00DE11DE" w:rsidRDefault="00DE11DE" w:rsidP="00DE11DE">
      <w:pPr>
        <w:pStyle w:val="BBBodyTextIndent1"/>
      </w:pPr>
      <w:r w:rsidRPr="006E090B">
        <w:rPr>
          <w:b/>
          <w:bCs/>
        </w:rPr>
        <w:lastRenderedPageBreak/>
        <w:t xml:space="preserve">Guidance for CEG: </w:t>
      </w:r>
      <w:r>
        <w:t xml:space="preserve">Assignments by way of security to a Funder, and re-assignments on redemption, do not count towards the two-assignment cap. This is an important carve-out in a project finance context </w:t>
      </w:r>
      <w:r w:rsidR="007C3A81">
        <w:t>-</w:t>
      </w:r>
      <w:r>
        <w:t xml:space="preserve"> it means the Beneficiary can grant a Funder security over the Deed without consuming one of its permitted assignments. </w:t>
      </w:r>
      <w:r w:rsidR="00085B83">
        <w:t>If you require unlimited assignments, this will need to be amended</w:t>
      </w:r>
      <w:r w:rsidR="00D9065A">
        <w:t>.</w:t>
      </w:r>
    </w:p>
    <w:bookmarkEnd w:id="15"/>
    <w:p w14:paraId="2255F0D1" w14:textId="7C1865E5" w:rsidR="00DE11DE" w:rsidRDefault="00DE11DE" w:rsidP="006E090B">
      <w:pPr>
        <w:pStyle w:val="BBHeading2"/>
      </w:pPr>
      <w:r>
        <w:t>Clause 8: Liability of the Sub-Contractor</w:t>
      </w:r>
    </w:p>
    <w:p w14:paraId="560445A9" w14:textId="215FFBBC" w:rsidR="00DE11DE" w:rsidRDefault="00DE11DE" w:rsidP="00DE11DE">
      <w:pPr>
        <w:pStyle w:val="BBBodyTextIndent1"/>
      </w:pPr>
      <w:bookmarkStart w:id="16" w:name="_Hlk225426123"/>
      <w:r w:rsidRPr="006E090B">
        <w:rPr>
          <w:b/>
          <w:bCs/>
        </w:rPr>
        <w:t>Purpose</w:t>
      </w:r>
      <w:r w:rsidRPr="00012970">
        <w:rPr>
          <w:b/>
          <w:bCs/>
        </w:rPr>
        <w:t>:</w:t>
      </w:r>
      <w:r>
        <w:t xml:space="preserve"> </w:t>
      </w:r>
      <w:r w:rsidR="00302A0F">
        <w:t>T</w:t>
      </w:r>
      <w:r w:rsidR="00302A0F" w:rsidRPr="00302A0F">
        <w:t xml:space="preserve">his clause preserves </w:t>
      </w:r>
      <w:proofErr w:type="gramStart"/>
      <w:r w:rsidR="00302A0F" w:rsidRPr="00302A0F">
        <w:t>all of</w:t>
      </w:r>
      <w:proofErr w:type="gramEnd"/>
      <w:r w:rsidR="00302A0F" w:rsidRPr="00302A0F">
        <w:t xml:space="preserve"> the Beneficiary’s legal rights against the Sub</w:t>
      </w:r>
      <w:r w:rsidR="00302A0F" w:rsidRPr="00302A0F">
        <w:rPr>
          <w:rFonts w:ascii="Cambria Math" w:hAnsi="Cambria Math" w:cs="Cambria Math"/>
        </w:rPr>
        <w:t>‑</w:t>
      </w:r>
      <w:r w:rsidR="00302A0F" w:rsidRPr="00302A0F">
        <w:t>Contractor, and the Deed operates in addition to, and not in substitution for, any other rights the Beneficiary may have</w:t>
      </w:r>
      <w:r w:rsidR="00302A0F">
        <w:t>.</w:t>
      </w:r>
    </w:p>
    <w:p w14:paraId="7CF14606" w14:textId="7F68CDCF" w:rsidR="00DE11DE" w:rsidRDefault="00DE11DE" w:rsidP="00DE11DE">
      <w:pPr>
        <w:pStyle w:val="BBBodyTextIndent1"/>
      </w:pPr>
      <w:r w:rsidRPr="006E090B">
        <w:rPr>
          <w:b/>
          <w:bCs/>
        </w:rPr>
        <w:t>Guidance for CEG:</w:t>
      </w:r>
      <w:r w:rsidR="00302A0F">
        <w:rPr>
          <w:b/>
          <w:bCs/>
        </w:rPr>
        <w:t xml:space="preserve"> </w:t>
      </w:r>
      <w:r>
        <w:t>Where a</w:t>
      </w:r>
      <w:r w:rsidR="00085B83">
        <w:t xml:space="preserve"> Beneficiary </w:t>
      </w:r>
      <w:r>
        <w:t xml:space="preserve">commissions a technical adviser to review the Sub-Contract Works </w:t>
      </w:r>
      <w:r w:rsidR="007C3A81">
        <w:t>-</w:t>
      </w:r>
      <w:r>
        <w:t xml:space="preserve"> which is standard practice in project finance </w:t>
      </w:r>
      <w:r w:rsidR="007C3A81">
        <w:t>-</w:t>
      </w:r>
      <w:r>
        <w:t xml:space="preserve"> that review cannot be used by the Sub-Contractor to argue that responsibility for any defect should be shared with the Beneficiary's advisers. </w:t>
      </w:r>
    </w:p>
    <w:bookmarkEnd w:id="16"/>
    <w:p w14:paraId="4F184805" w14:textId="759E9B3E" w:rsidR="00DE11DE" w:rsidRDefault="00DE11DE" w:rsidP="006E090B">
      <w:pPr>
        <w:pStyle w:val="BBHeading2"/>
      </w:pPr>
      <w:r>
        <w:t>Clause 9: Expiry of Deed</w:t>
      </w:r>
    </w:p>
    <w:p w14:paraId="718FBAC2" w14:textId="77777777" w:rsidR="00DE11DE" w:rsidRDefault="00DE11DE" w:rsidP="00DE11DE">
      <w:pPr>
        <w:pStyle w:val="BBBodyTextIndent1"/>
      </w:pPr>
      <w:r w:rsidRPr="006E090B">
        <w:rPr>
          <w:b/>
          <w:bCs/>
        </w:rPr>
        <w:t>Purpose</w:t>
      </w:r>
      <w:r w:rsidRPr="00012970">
        <w:rPr>
          <w:b/>
          <w:bCs/>
        </w:rPr>
        <w:t>:</w:t>
      </w:r>
      <w:r>
        <w:t xml:space="preserve"> This clause establishes the periods within which the Beneficiary may bring claims against the Sub-Contractor under the Deed.</w:t>
      </w:r>
    </w:p>
    <w:p w14:paraId="44B693FD" w14:textId="283C7B99" w:rsidR="00DE11DE" w:rsidRDefault="00DE11DE" w:rsidP="00DE11DE">
      <w:pPr>
        <w:pStyle w:val="BBBodyTextIndent1"/>
      </w:pPr>
      <w:r w:rsidRPr="006E090B">
        <w:rPr>
          <w:b/>
          <w:bCs/>
        </w:rPr>
        <w:t>Guidance for CEG:</w:t>
      </w:r>
      <w:r w:rsidR="00302A0F">
        <w:rPr>
          <w:b/>
          <w:bCs/>
        </w:rPr>
        <w:t xml:space="preserve"> </w:t>
      </w:r>
      <w:r>
        <w:t>The two-tier limitation structure mirrors the approach used in the EPC Contract. The 15-year extended period for Building Safety Laws and standard of care claims reflects the possibility that structural or safety-related defects may not become apparent for many years after completion. This extended period is consistent with the framework now expected under the Building Safety Act 2022.</w:t>
      </w:r>
      <w:r w:rsidR="00302A0F">
        <w:t xml:space="preserve"> </w:t>
      </w:r>
      <w:r w:rsidR="00CF3556">
        <w:t>Ideally e</w:t>
      </w:r>
      <w:r>
        <w:t>nsure the limitation periods in the Deed are consistent with those in the EPC Contract and in any other collateral warranties granted in connection with the project. Any inconsistency could create gaps in the Beneficiary's position if it needs to bring a claim close to the expiry of the relevant period.</w:t>
      </w:r>
    </w:p>
    <w:p w14:paraId="2B5830F8" w14:textId="1D38EB7B" w:rsidR="00DE11DE" w:rsidRDefault="00DE11DE" w:rsidP="00012970">
      <w:pPr>
        <w:pStyle w:val="BBHeading2"/>
      </w:pPr>
      <w:r>
        <w:t>Clause 10: Consent of Contractor</w:t>
      </w:r>
    </w:p>
    <w:p w14:paraId="715B6EAF" w14:textId="77777777" w:rsidR="00DE11DE" w:rsidRDefault="00DE11DE" w:rsidP="00DE11DE">
      <w:pPr>
        <w:pStyle w:val="BBBodyTextIndent1"/>
      </w:pPr>
      <w:bookmarkStart w:id="17" w:name="_Hlk225426291"/>
      <w:r w:rsidRPr="00012970">
        <w:rPr>
          <w:b/>
          <w:bCs/>
        </w:rPr>
        <w:t>Purpose:</w:t>
      </w:r>
      <w:r>
        <w:t xml:space="preserve"> This clause records the Contractor's consent to the Deed being entered into between the Sub-Contractor and the Beneficiary.</w:t>
      </w:r>
    </w:p>
    <w:p w14:paraId="5BB2328C" w14:textId="41D6CE96" w:rsidR="00DE11DE" w:rsidRDefault="00DE11DE" w:rsidP="00DE11DE">
      <w:pPr>
        <w:pStyle w:val="BBBodyTextIndent1"/>
      </w:pPr>
      <w:r w:rsidRPr="00012970">
        <w:rPr>
          <w:b/>
          <w:bCs/>
        </w:rPr>
        <w:t>Guidance for CEG:</w:t>
      </w:r>
      <w:r w:rsidR="00302A0F">
        <w:rPr>
          <w:b/>
          <w:bCs/>
        </w:rPr>
        <w:t xml:space="preserve"> </w:t>
      </w:r>
      <w:r>
        <w:t xml:space="preserve">The Contractor's consent is not merely a formality. The Sub-Contract is a bilateral agreement between the Contractor and the Sub-Contractor, and the Deed operates by granting the Beneficiary rights directly against the Sub-Contractor in relation to that bilateral arrangement. Without the Contractor's consent, there is a risk that the Deed could be said to conflict with the Sub-Contract, or that the Sub-Contractor could face competing claims from both the Contractor and the Beneficiary in respect of the same defect. </w:t>
      </w:r>
    </w:p>
    <w:bookmarkEnd w:id="17"/>
    <w:p w14:paraId="5E4A122E" w14:textId="32E17FED" w:rsidR="00DE11DE" w:rsidRDefault="00DE11DE" w:rsidP="00012970">
      <w:pPr>
        <w:pStyle w:val="BBHeading2"/>
      </w:pPr>
      <w:r>
        <w:t>Clause 11: Notices</w:t>
      </w:r>
    </w:p>
    <w:p w14:paraId="5AA84913" w14:textId="3D20E856" w:rsidR="00DE11DE" w:rsidRPr="00BC7693" w:rsidRDefault="00DE11DE" w:rsidP="00DE11DE">
      <w:pPr>
        <w:pStyle w:val="BBBodyTextIndent1"/>
      </w:pPr>
      <w:r w:rsidRPr="00577299">
        <w:rPr>
          <w:b/>
          <w:bCs/>
        </w:rPr>
        <w:t xml:space="preserve">Purpose: </w:t>
      </w:r>
      <w:r w:rsidR="00BC7693" w:rsidRPr="00BC7693">
        <w:t xml:space="preserve">These provisions establish notice requirements, including methods of service (hand delivery, recorded </w:t>
      </w:r>
      <w:r w:rsidR="007C3A81">
        <w:t xml:space="preserve">and special </w:t>
      </w:r>
      <w:r w:rsidR="00BC7693" w:rsidRPr="00BC7693">
        <w:t>delivery)</w:t>
      </w:r>
      <w:r w:rsidR="007C3A81">
        <w:t xml:space="preserve"> and</w:t>
      </w:r>
      <w:r w:rsidR="00BC7693" w:rsidRPr="00BC7693">
        <w:t xml:space="preserve"> deemed receipt times</w:t>
      </w:r>
      <w:r w:rsidR="007C3A81">
        <w:t xml:space="preserve">. </w:t>
      </w:r>
      <w:r w:rsidR="00BC7693" w:rsidRPr="00BC7693">
        <w:t>Proper notice provisions are critical for enforcing rights (particularly making demands under the guarantee) and avoiding disputes over whether notice was validly given</w:t>
      </w:r>
      <w:r w:rsidR="00BC7693">
        <w:t>.</w:t>
      </w:r>
    </w:p>
    <w:p w14:paraId="050839FE" w14:textId="44829DE3" w:rsidR="00DE11DE" w:rsidRDefault="00DE11DE" w:rsidP="00577299">
      <w:pPr>
        <w:pStyle w:val="BBHeading2"/>
      </w:pPr>
      <w:r>
        <w:t>Clause 12: Rights of Third Parties</w:t>
      </w:r>
    </w:p>
    <w:p w14:paraId="27A581D1" w14:textId="464FEBD5" w:rsidR="00DE11DE" w:rsidRDefault="00DE11DE" w:rsidP="00DE11DE">
      <w:pPr>
        <w:pStyle w:val="BBBodyTextIndent1"/>
      </w:pPr>
      <w:r w:rsidRPr="00577299">
        <w:rPr>
          <w:b/>
          <w:bCs/>
        </w:rPr>
        <w:t>Purpose:</w:t>
      </w:r>
      <w:r>
        <w:t xml:space="preserve"> </w:t>
      </w:r>
      <w:bookmarkStart w:id="18" w:name="_Hlk225426391"/>
      <w:r>
        <w:t xml:space="preserve">This clause excludes third-party enforcement rights under the Contracts (Rights of Third Parties) Act 1999. This is consistent with the equivalent exclusion in </w:t>
      </w:r>
      <w:r>
        <w:lastRenderedPageBreak/>
        <w:t xml:space="preserve">the EPC Contract. It does not affect the Beneficiary's ability to assign its rights under clause 7 </w:t>
      </w:r>
      <w:r w:rsidR="007C3A81">
        <w:t>-</w:t>
      </w:r>
      <w:r>
        <w:t xml:space="preserve"> an assignee takes the benefit of rights transferred to them rather than enforcing as a third party</w:t>
      </w:r>
      <w:bookmarkEnd w:id="18"/>
      <w:r>
        <w:t>.</w:t>
      </w:r>
    </w:p>
    <w:p w14:paraId="1371FFC7" w14:textId="036F4D27" w:rsidR="00DE11DE" w:rsidRDefault="00DE11DE" w:rsidP="00577299">
      <w:pPr>
        <w:pStyle w:val="BBHeading2"/>
      </w:pPr>
      <w:r>
        <w:t>Clause 13: Governing Law and Jurisdiction</w:t>
      </w:r>
    </w:p>
    <w:p w14:paraId="176E2866" w14:textId="50BDAD04" w:rsidR="00DE11DE" w:rsidRDefault="00DE11DE" w:rsidP="00DE11DE">
      <w:pPr>
        <w:pStyle w:val="BBBodyTextIndent1"/>
      </w:pPr>
      <w:r w:rsidRPr="00577299">
        <w:rPr>
          <w:b/>
          <w:bCs/>
        </w:rPr>
        <w:t>Purpose:</w:t>
      </w:r>
      <w:r>
        <w:t xml:space="preserve"> </w:t>
      </w:r>
      <w:r w:rsidR="00BC7693" w:rsidRPr="00BC7693">
        <w:t>These provisions establish the law of England and Wales as the governing law and confer exclusive jurisdiction on the courts of England and Wales.</w:t>
      </w:r>
    </w:p>
    <w:p w14:paraId="72EE9D46" w14:textId="77777777" w:rsidR="00577299" w:rsidRPr="00BB52C6" w:rsidRDefault="00DE11DE" w:rsidP="00DE11DE">
      <w:pPr>
        <w:pStyle w:val="BBBodyTextIndent1"/>
        <w:rPr>
          <w:b/>
          <w:bCs/>
        </w:rPr>
      </w:pPr>
      <w:r w:rsidRPr="00BB52C6">
        <w:rPr>
          <w:b/>
          <w:bCs/>
        </w:rPr>
        <w:t xml:space="preserve">Action Required: </w:t>
      </w:r>
    </w:p>
    <w:p w14:paraId="78107FE2" w14:textId="00F9318D" w:rsidR="00DE11DE" w:rsidRDefault="00DE11DE" w:rsidP="00BB52C6">
      <w:pPr>
        <w:pStyle w:val="BulletNew"/>
      </w:pPr>
      <w:r>
        <w:t>Confirm that English law and the exclusive jurisdiction of the courts of England and Wales are appropriate. This should be consistent with the governing law provisions in the EPC Contract and the other project contracts.</w:t>
      </w:r>
    </w:p>
    <w:p w14:paraId="5DAB91EC" w14:textId="77777777" w:rsidR="00D16D7D" w:rsidRDefault="00D16D7D" w:rsidP="00AB569F">
      <w:pPr>
        <w:pStyle w:val="BBBodyTextIndent1"/>
      </w:pPr>
    </w:p>
    <w:sectPr w:rsidR="00D16D7D" w:rsidSect="00B511AB">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CF2CC" w14:textId="77777777" w:rsidR="00383D52" w:rsidRDefault="00383D52" w:rsidP="00B01583">
      <w:r>
        <w:separator/>
      </w:r>
    </w:p>
  </w:endnote>
  <w:endnote w:type="continuationSeparator" w:id="0">
    <w:p w14:paraId="35F2DCB1" w14:textId="77777777" w:rsidR="00383D52" w:rsidRDefault="00383D5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784F" w14:textId="77777777" w:rsidR="00034814" w:rsidRDefault="000348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41FC" w14:textId="77777777" w:rsidR="002A2CC0" w:rsidRPr="00BD5F83" w:rsidRDefault="002A2CC0" w:rsidP="002A2CC0">
    <w:pPr>
      <w:pStyle w:val="BodyText"/>
      <w:spacing w:before="120"/>
      <w:jc w:val="center"/>
      <w:rPr>
        <w:szCs w:val="22"/>
      </w:rPr>
    </w:pPr>
    <w:r>
      <w:rPr>
        <w:noProof/>
      </w:rPr>
      <w:drawing>
        <wp:inline distT="0" distB="0" distL="0" distR="0" wp14:anchorId="42D09E9F" wp14:editId="58620058">
          <wp:extent cx="1511300" cy="266700"/>
          <wp:effectExtent l="0" t="0" r="0" b="0"/>
          <wp:docPr id="1098817655" name="Picture 1098817655"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723C1A2A" w14:textId="77777777" w:rsidR="002A2CC0" w:rsidRDefault="002A2CC0" w:rsidP="002A2CC0">
    <w:pPr>
      <w:pStyle w:val="BodyText"/>
      <w:spacing w:after="0"/>
      <w:jc w:val="center"/>
      <w:rPr>
        <w:sz w:val="16"/>
        <w:szCs w:val="16"/>
        <w:lang w:val="en-US"/>
      </w:rPr>
    </w:pPr>
    <w:r>
      <w:rPr>
        <w:sz w:val="16"/>
        <w:szCs w:val="16"/>
        <w:lang w:val="en-US"/>
      </w:rPr>
      <w:t>Bird &amp; Bird LLP, 12 New Fetter Lane, London EC4A 1JP, United Kingdom</w:t>
    </w:r>
  </w:p>
  <w:p w14:paraId="06C4B140" w14:textId="77777777" w:rsidR="002A2CC0" w:rsidRDefault="002A2CC0" w:rsidP="002A2CC0">
    <w:pPr>
      <w:pStyle w:val="Footer"/>
    </w:pPr>
    <w:r w:rsidRPr="00E37E62">
      <w:rPr>
        <w:sz w:val="16"/>
        <w:szCs w:val="16"/>
      </w:rPr>
      <w:t xml:space="preserve">T: +44 (0)20 7415 6000 | </w:t>
    </w:r>
    <w:hyperlink r:id="rId2" w:history="1">
      <w:r w:rsidRPr="00E37E62">
        <w:rPr>
          <w:sz w:val="16"/>
          <w:szCs w:val="16"/>
        </w:rPr>
        <w:t>www.twobirds.com</w:t>
      </w:r>
    </w:hyperlink>
  </w:p>
  <w:p w14:paraId="2FA5EDC0" w14:textId="77777777" w:rsidR="002A2CC0" w:rsidRDefault="002A2C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F03A" w14:textId="77777777" w:rsidR="00034814" w:rsidRDefault="000348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07F1" w14:textId="77777777" w:rsidR="00383D52" w:rsidRDefault="00383D52" w:rsidP="00B01583">
      <w:r>
        <w:separator/>
      </w:r>
    </w:p>
  </w:footnote>
  <w:footnote w:type="continuationSeparator" w:id="0">
    <w:p w14:paraId="34E37E0F" w14:textId="77777777" w:rsidR="00383D52" w:rsidRDefault="00383D5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065425">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1385684450"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065425"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065425">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065425">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065425">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065425">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065425">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065425">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065425">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603"/>
    <w:multiLevelType w:val="hybridMultilevel"/>
    <w:tmpl w:val="37E6DFEA"/>
    <w:lvl w:ilvl="0" w:tplc="3B88316A">
      <w:start w:val="3"/>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6230BED"/>
    <w:multiLevelType w:val="multilevel"/>
    <w:tmpl w:val="4C34C048"/>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pStyle w:val="BulletNew"/>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99E57EB"/>
    <w:multiLevelType w:val="multilevel"/>
    <w:tmpl w:val="933002F4"/>
    <w:numStyleLink w:val="Parties"/>
  </w:abstractNum>
  <w:abstractNum w:abstractNumId="12" w15:restartNumberingAfterBreak="0">
    <w:nsid w:val="729339C6"/>
    <w:multiLevelType w:val="hybridMultilevel"/>
    <w:tmpl w:val="621E99FA"/>
    <w:lvl w:ilvl="0" w:tplc="A9A0D0E6">
      <w:start w:val="1"/>
      <w:numFmt w:val="bullet"/>
      <w:lvlText w:val="•"/>
      <w:lvlJc w:val="left"/>
      <w:pPr>
        <w:ind w:left="720" w:hanging="360"/>
      </w:pPr>
    </w:lvl>
    <w:lvl w:ilvl="1" w:tplc="A9B6602A">
      <w:start w:val="1"/>
      <w:numFmt w:val="bullet"/>
      <w:lvlText w:val="•"/>
      <w:lvlJc w:val="left"/>
      <w:pPr>
        <w:ind w:left="1440" w:hanging="360"/>
      </w:pPr>
    </w:lvl>
    <w:lvl w:ilvl="2" w:tplc="C2780080">
      <w:numFmt w:val="decimal"/>
      <w:lvlText w:val=""/>
      <w:lvlJc w:val="left"/>
    </w:lvl>
    <w:lvl w:ilvl="3" w:tplc="6AFE0E90">
      <w:numFmt w:val="decimal"/>
      <w:lvlText w:val=""/>
      <w:lvlJc w:val="left"/>
    </w:lvl>
    <w:lvl w:ilvl="4" w:tplc="009E0826">
      <w:numFmt w:val="decimal"/>
      <w:lvlText w:val=""/>
      <w:lvlJc w:val="left"/>
    </w:lvl>
    <w:lvl w:ilvl="5" w:tplc="E1FC11B8">
      <w:numFmt w:val="decimal"/>
      <w:lvlText w:val=""/>
      <w:lvlJc w:val="left"/>
    </w:lvl>
    <w:lvl w:ilvl="6" w:tplc="15F25888">
      <w:numFmt w:val="decimal"/>
      <w:lvlText w:val=""/>
      <w:lvlJc w:val="left"/>
    </w:lvl>
    <w:lvl w:ilvl="7" w:tplc="E0386888">
      <w:numFmt w:val="decimal"/>
      <w:lvlText w:val=""/>
      <w:lvlJc w:val="left"/>
    </w:lvl>
    <w:lvl w:ilvl="8" w:tplc="B61862F6">
      <w:numFmt w:val="decimal"/>
      <w:lvlText w:val=""/>
      <w:lvlJc w:val="left"/>
    </w:lvl>
  </w:abstractNum>
  <w:abstractNum w:abstractNumId="13" w15:restartNumberingAfterBreak="0">
    <w:nsid w:val="75E177F3"/>
    <w:multiLevelType w:val="multilevel"/>
    <w:tmpl w:val="22B85D12"/>
    <w:numStyleLink w:val="NumberingSchedules"/>
  </w:abstractNum>
  <w:abstractNum w:abstractNumId="14" w15:restartNumberingAfterBreak="0">
    <w:nsid w:val="790E549C"/>
    <w:multiLevelType w:val="hybridMultilevel"/>
    <w:tmpl w:val="5CC2E7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10425439">
    <w:abstractNumId w:val="1"/>
  </w:num>
  <w:num w:numId="2" w16cid:durableId="83498367">
    <w:abstractNumId w:val="4"/>
  </w:num>
  <w:num w:numId="3" w16cid:durableId="752943439">
    <w:abstractNumId w:val="9"/>
  </w:num>
  <w:num w:numId="4" w16cid:durableId="1874881795">
    <w:abstractNumId w:val="11"/>
  </w:num>
  <w:num w:numId="5" w16cid:durableId="1748654350">
    <w:abstractNumId w:val="10"/>
  </w:num>
  <w:num w:numId="6" w16cid:durableId="909313039">
    <w:abstractNumId w:val="5"/>
  </w:num>
  <w:num w:numId="7" w16cid:durableId="1133140534">
    <w:abstractNumId w:val="4"/>
  </w:num>
  <w:num w:numId="8" w16cid:durableId="525599901">
    <w:abstractNumId w:val="5"/>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799298954">
    <w:abstractNumId w:val="8"/>
  </w:num>
  <w:num w:numId="10" w16cid:durableId="396634208">
    <w:abstractNumId w:val="3"/>
  </w:num>
  <w:num w:numId="11" w16cid:durableId="1735926167">
    <w:abstractNumId w:val="7"/>
  </w:num>
  <w:num w:numId="12" w16cid:durableId="1398673678">
    <w:abstractNumId w:val="13"/>
  </w:num>
  <w:num w:numId="13" w16cid:durableId="896865449">
    <w:abstractNumId w:val="2"/>
  </w:num>
  <w:num w:numId="14" w16cid:durableId="834347655">
    <w:abstractNumId w:val="2"/>
  </w:num>
  <w:num w:numId="15" w16cid:durableId="729038409">
    <w:abstractNumId w:val="2"/>
  </w:num>
  <w:num w:numId="16" w16cid:durableId="1481196000">
    <w:abstractNumId w:val="12"/>
    <w:lvlOverride w:ilvl="0">
      <w:startOverride w:val="1"/>
    </w:lvlOverride>
  </w:num>
  <w:num w:numId="17" w16cid:durableId="2114396632">
    <w:abstractNumId w:val="0"/>
  </w:num>
  <w:num w:numId="18" w16cid:durableId="41903224">
    <w:abstractNumId w:val="2"/>
  </w:num>
  <w:num w:numId="19" w16cid:durableId="1767118604">
    <w:abstractNumId w:val="2"/>
  </w:num>
  <w:num w:numId="20" w16cid:durableId="1963657322">
    <w:abstractNumId w:val="5"/>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1" w16cid:durableId="1730614482">
    <w:abstractNumId w:val="14"/>
  </w:num>
  <w:num w:numId="22" w16cid:durableId="394356416">
    <w:abstractNumId w:val="2"/>
  </w:num>
  <w:num w:numId="23" w16cid:durableId="523978685">
    <w:abstractNumId w:val="2"/>
  </w:num>
  <w:num w:numId="24" w16cid:durableId="1195507893">
    <w:abstractNumId w:val="5"/>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13DF"/>
    <w:rsid w:val="00004B6F"/>
    <w:rsid w:val="00005199"/>
    <w:rsid w:val="00011498"/>
    <w:rsid w:val="000128DF"/>
    <w:rsid w:val="00012970"/>
    <w:rsid w:val="0001347A"/>
    <w:rsid w:val="000175A1"/>
    <w:rsid w:val="000179D9"/>
    <w:rsid w:val="00017A25"/>
    <w:rsid w:val="0002312C"/>
    <w:rsid w:val="00023465"/>
    <w:rsid w:val="00025F14"/>
    <w:rsid w:val="0002778C"/>
    <w:rsid w:val="000315B8"/>
    <w:rsid w:val="0003420D"/>
    <w:rsid w:val="00034814"/>
    <w:rsid w:val="00034EBB"/>
    <w:rsid w:val="0004239F"/>
    <w:rsid w:val="0004386D"/>
    <w:rsid w:val="00043871"/>
    <w:rsid w:val="0004779B"/>
    <w:rsid w:val="000558A0"/>
    <w:rsid w:val="00063248"/>
    <w:rsid w:val="000643F7"/>
    <w:rsid w:val="00065425"/>
    <w:rsid w:val="00071F4C"/>
    <w:rsid w:val="00072293"/>
    <w:rsid w:val="00072799"/>
    <w:rsid w:val="00072C23"/>
    <w:rsid w:val="00084C40"/>
    <w:rsid w:val="00085287"/>
    <w:rsid w:val="00085B83"/>
    <w:rsid w:val="0009275F"/>
    <w:rsid w:val="00095E1D"/>
    <w:rsid w:val="000A03BB"/>
    <w:rsid w:val="000A0610"/>
    <w:rsid w:val="000A0F22"/>
    <w:rsid w:val="000A1ACD"/>
    <w:rsid w:val="000A36C8"/>
    <w:rsid w:val="000A3F41"/>
    <w:rsid w:val="000B07F8"/>
    <w:rsid w:val="000B0AF1"/>
    <w:rsid w:val="000B10D6"/>
    <w:rsid w:val="000C17B5"/>
    <w:rsid w:val="000C79BE"/>
    <w:rsid w:val="000C7E74"/>
    <w:rsid w:val="000D1237"/>
    <w:rsid w:val="000D1FB9"/>
    <w:rsid w:val="000D244A"/>
    <w:rsid w:val="000D3612"/>
    <w:rsid w:val="000D3DA9"/>
    <w:rsid w:val="000D6502"/>
    <w:rsid w:val="000D7CE6"/>
    <w:rsid w:val="000E6FA0"/>
    <w:rsid w:val="000E7ACE"/>
    <w:rsid w:val="000F66A1"/>
    <w:rsid w:val="001061BB"/>
    <w:rsid w:val="00110D63"/>
    <w:rsid w:val="00120A6E"/>
    <w:rsid w:val="0012438F"/>
    <w:rsid w:val="001256A3"/>
    <w:rsid w:val="00126520"/>
    <w:rsid w:val="00127662"/>
    <w:rsid w:val="001279EF"/>
    <w:rsid w:val="0013102E"/>
    <w:rsid w:val="00132583"/>
    <w:rsid w:val="00132BE5"/>
    <w:rsid w:val="00141820"/>
    <w:rsid w:val="0014266F"/>
    <w:rsid w:val="00143400"/>
    <w:rsid w:val="00146110"/>
    <w:rsid w:val="00150897"/>
    <w:rsid w:val="0015094A"/>
    <w:rsid w:val="001528C6"/>
    <w:rsid w:val="00152A16"/>
    <w:rsid w:val="00152A99"/>
    <w:rsid w:val="001611B7"/>
    <w:rsid w:val="0016372F"/>
    <w:rsid w:val="0016379B"/>
    <w:rsid w:val="001649A5"/>
    <w:rsid w:val="00175680"/>
    <w:rsid w:val="001815D7"/>
    <w:rsid w:val="00181E9C"/>
    <w:rsid w:val="001835AB"/>
    <w:rsid w:val="0018620A"/>
    <w:rsid w:val="001863EA"/>
    <w:rsid w:val="001920C7"/>
    <w:rsid w:val="001924CE"/>
    <w:rsid w:val="001957E1"/>
    <w:rsid w:val="00195963"/>
    <w:rsid w:val="0019640C"/>
    <w:rsid w:val="00197A41"/>
    <w:rsid w:val="001B3E13"/>
    <w:rsid w:val="001B663E"/>
    <w:rsid w:val="001B72D6"/>
    <w:rsid w:val="001C002E"/>
    <w:rsid w:val="001C0F2C"/>
    <w:rsid w:val="001C301B"/>
    <w:rsid w:val="001C51B2"/>
    <w:rsid w:val="001D0D06"/>
    <w:rsid w:val="001D101D"/>
    <w:rsid w:val="001D54E4"/>
    <w:rsid w:val="001D611A"/>
    <w:rsid w:val="001E71EE"/>
    <w:rsid w:val="001E7310"/>
    <w:rsid w:val="001F39A3"/>
    <w:rsid w:val="001F47C8"/>
    <w:rsid w:val="001F6236"/>
    <w:rsid w:val="0020171E"/>
    <w:rsid w:val="0020308B"/>
    <w:rsid w:val="00203B5C"/>
    <w:rsid w:val="002064B6"/>
    <w:rsid w:val="002113BD"/>
    <w:rsid w:val="002115D4"/>
    <w:rsid w:val="002142D7"/>
    <w:rsid w:val="002153F1"/>
    <w:rsid w:val="002154A8"/>
    <w:rsid w:val="00221CCF"/>
    <w:rsid w:val="0022388F"/>
    <w:rsid w:val="00227ADC"/>
    <w:rsid w:val="00234159"/>
    <w:rsid w:val="0023638B"/>
    <w:rsid w:val="00240549"/>
    <w:rsid w:val="00241A69"/>
    <w:rsid w:val="00250395"/>
    <w:rsid w:val="002521F3"/>
    <w:rsid w:val="00253B90"/>
    <w:rsid w:val="00254866"/>
    <w:rsid w:val="00254A1C"/>
    <w:rsid w:val="0025511A"/>
    <w:rsid w:val="0026372C"/>
    <w:rsid w:val="00264CCE"/>
    <w:rsid w:val="00267622"/>
    <w:rsid w:val="00273073"/>
    <w:rsid w:val="00273BA1"/>
    <w:rsid w:val="002757B6"/>
    <w:rsid w:val="00280779"/>
    <w:rsid w:val="00282EBC"/>
    <w:rsid w:val="00295A39"/>
    <w:rsid w:val="002A04C1"/>
    <w:rsid w:val="002A2CC0"/>
    <w:rsid w:val="002A3250"/>
    <w:rsid w:val="002A3BAC"/>
    <w:rsid w:val="002A5913"/>
    <w:rsid w:val="002B1C2A"/>
    <w:rsid w:val="002B3995"/>
    <w:rsid w:val="002C0696"/>
    <w:rsid w:val="002C4540"/>
    <w:rsid w:val="002C4E15"/>
    <w:rsid w:val="002C73BC"/>
    <w:rsid w:val="002D16C9"/>
    <w:rsid w:val="002D1F2D"/>
    <w:rsid w:val="002D3E0C"/>
    <w:rsid w:val="002D43F0"/>
    <w:rsid w:val="002D7075"/>
    <w:rsid w:val="002E2351"/>
    <w:rsid w:val="002E2D69"/>
    <w:rsid w:val="002E57C1"/>
    <w:rsid w:val="002E5887"/>
    <w:rsid w:val="00301DDE"/>
    <w:rsid w:val="00302A0F"/>
    <w:rsid w:val="003042D3"/>
    <w:rsid w:val="00310C12"/>
    <w:rsid w:val="003133A0"/>
    <w:rsid w:val="00316166"/>
    <w:rsid w:val="00316463"/>
    <w:rsid w:val="003250A1"/>
    <w:rsid w:val="003250D4"/>
    <w:rsid w:val="0032670A"/>
    <w:rsid w:val="003315D3"/>
    <w:rsid w:val="00335E47"/>
    <w:rsid w:val="00343509"/>
    <w:rsid w:val="00343F5C"/>
    <w:rsid w:val="00345A38"/>
    <w:rsid w:val="00352648"/>
    <w:rsid w:val="00353912"/>
    <w:rsid w:val="00353CE5"/>
    <w:rsid w:val="00354FD0"/>
    <w:rsid w:val="00356D2A"/>
    <w:rsid w:val="003576E8"/>
    <w:rsid w:val="00357E7B"/>
    <w:rsid w:val="00361064"/>
    <w:rsid w:val="00361750"/>
    <w:rsid w:val="00362281"/>
    <w:rsid w:val="00366FB6"/>
    <w:rsid w:val="00366FD3"/>
    <w:rsid w:val="0037741D"/>
    <w:rsid w:val="00380C79"/>
    <w:rsid w:val="003814E4"/>
    <w:rsid w:val="00381B5E"/>
    <w:rsid w:val="00383576"/>
    <w:rsid w:val="00383D52"/>
    <w:rsid w:val="00384A42"/>
    <w:rsid w:val="00390A93"/>
    <w:rsid w:val="00391689"/>
    <w:rsid w:val="00393F38"/>
    <w:rsid w:val="003A179F"/>
    <w:rsid w:val="003A3064"/>
    <w:rsid w:val="003A4FCE"/>
    <w:rsid w:val="003B1D5C"/>
    <w:rsid w:val="003B6A8D"/>
    <w:rsid w:val="003C5B2F"/>
    <w:rsid w:val="003C7973"/>
    <w:rsid w:val="003D418E"/>
    <w:rsid w:val="003D6DF6"/>
    <w:rsid w:val="003E00EC"/>
    <w:rsid w:val="003E014C"/>
    <w:rsid w:val="003E10E7"/>
    <w:rsid w:val="003E11EB"/>
    <w:rsid w:val="003E22F1"/>
    <w:rsid w:val="003E36C5"/>
    <w:rsid w:val="003E3758"/>
    <w:rsid w:val="003E5648"/>
    <w:rsid w:val="003E7832"/>
    <w:rsid w:val="003F01F3"/>
    <w:rsid w:val="003F0E5F"/>
    <w:rsid w:val="003F1ACC"/>
    <w:rsid w:val="003F3057"/>
    <w:rsid w:val="003F6A50"/>
    <w:rsid w:val="003F6DAB"/>
    <w:rsid w:val="003F77E1"/>
    <w:rsid w:val="004017C9"/>
    <w:rsid w:val="00405FB9"/>
    <w:rsid w:val="004063FB"/>
    <w:rsid w:val="00407740"/>
    <w:rsid w:val="00410B83"/>
    <w:rsid w:val="00411DD5"/>
    <w:rsid w:val="00412051"/>
    <w:rsid w:val="004201D6"/>
    <w:rsid w:val="00420581"/>
    <w:rsid w:val="00423E48"/>
    <w:rsid w:val="004244B9"/>
    <w:rsid w:val="0042453B"/>
    <w:rsid w:val="00426B86"/>
    <w:rsid w:val="00433269"/>
    <w:rsid w:val="00436860"/>
    <w:rsid w:val="0045064D"/>
    <w:rsid w:val="00453E03"/>
    <w:rsid w:val="00454718"/>
    <w:rsid w:val="00456B6E"/>
    <w:rsid w:val="00460234"/>
    <w:rsid w:val="004607C3"/>
    <w:rsid w:val="00462C67"/>
    <w:rsid w:val="004630A2"/>
    <w:rsid w:val="004647EF"/>
    <w:rsid w:val="00464FFA"/>
    <w:rsid w:val="00466B42"/>
    <w:rsid w:val="00467782"/>
    <w:rsid w:val="0047758A"/>
    <w:rsid w:val="00482164"/>
    <w:rsid w:val="0048337A"/>
    <w:rsid w:val="0049112C"/>
    <w:rsid w:val="00491EDE"/>
    <w:rsid w:val="00494F48"/>
    <w:rsid w:val="004959CC"/>
    <w:rsid w:val="00496B33"/>
    <w:rsid w:val="004A2778"/>
    <w:rsid w:val="004A6D89"/>
    <w:rsid w:val="004B005D"/>
    <w:rsid w:val="004B20CC"/>
    <w:rsid w:val="004B4C12"/>
    <w:rsid w:val="004B6288"/>
    <w:rsid w:val="004B6AA8"/>
    <w:rsid w:val="004C30D3"/>
    <w:rsid w:val="004C4DCF"/>
    <w:rsid w:val="004C75D5"/>
    <w:rsid w:val="004C75FF"/>
    <w:rsid w:val="004D305E"/>
    <w:rsid w:val="004D78FD"/>
    <w:rsid w:val="004E1906"/>
    <w:rsid w:val="004F0B75"/>
    <w:rsid w:val="004F1C69"/>
    <w:rsid w:val="004F479D"/>
    <w:rsid w:val="004F5FD0"/>
    <w:rsid w:val="004F7064"/>
    <w:rsid w:val="004F73FD"/>
    <w:rsid w:val="00502742"/>
    <w:rsid w:val="00502A0C"/>
    <w:rsid w:val="0050335F"/>
    <w:rsid w:val="005070D5"/>
    <w:rsid w:val="005118A9"/>
    <w:rsid w:val="0051477D"/>
    <w:rsid w:val="00514B45"/>
    <w:rsid w:val="005179B8"/>
    <w:rsid w:val="00520A34"/>
    <w:rsid w:val="00525B83"/>
    <w:rsid w:val="00530164"/>
    <w:rsid w:val="005304FF"/>
    <w:rsid w:val="00531DD0"/>
    <w:rsid w:val="005343C0"/>
    <w:rsid w:val="0053780F"/>
    <w:rsid w:val="0054151A"/>
    <w:rsid w:val="00546266"/>
    <w:rsid w:val="00546F6C"/>
    <w:rsid w:val="00547C70"/>
    <w:rsid w:val="00550980"/>
    <w:rsid w:val="00550DD3"/>
    <w:rsid w:val="00550E45"/>
    <w:rsid w:val="00551214"/>
    <w:rsid w:val="00557F54"/>
    <w:rsid w:val="005606A1"/>
    <w:rsid w:val="00560FDE"/>
    <w:rsid w:val="00561389"/>
    <w:rsid w:val="00561A8A"/>
    <w:rsid w:val="0056375E"/>
    <w:rsid w:val="00565A51"/>
    <w:rsid w:val="00571CC0"/>
    <w:rsid w:val="0057237B"/>
    <w:rsid w:val="0057372D"/>
    <w:rsid w:val="0057500F"/>
    <w:rsid w:val="0057594B"/>
    <w:rsid w:val="00576A87"/>
    <w:rsid w:val="00577299"/>
    <w:rsid w:val="00586ACD"/>
    <w:rsid w:val="0059175F"/>
    <w:rsid w:val="005944F4"/>
    <w:rsid w:val="005A5F2E"/>
    <w:rsid w:val="005A64AB"/>
    <w:rsid w:val="005A6A83"/>
    <w:rsid w:val="005A7688"/>
    <w:rsid w:val="005A7772"/>
    <w:rsid w:val="005B4A80"/>
    <w:rsid w:val="005B5079"/>
    <w:rsid w:val="005B7FF8"/>
    <w:rsid w:val="005C0C21"/>
    <w:rsid w:val="005C120E"/>
    <w:rsid w:val="005C49D8"/>
    <w:rsid w:val="005D06B1"/>
    <w:rsid w:val="005D1411"/>
    <w:rsid w:val="005D28D0"/>
    <w:rsid w:val="005D356C"/>
    <w:rsid w:val="005D57F9"/>
    <w:rsid w:val="005D66CF"/>
    <w:rsid w:val="005E0CBA"/>
    <w:rsid w:val="005E2262"/>
    <w:rsid w:val="005E27D3"/>
    <w:rsid w:val="005E30CC"/>
    <w:rsid w:val="005E424C"/>
    <w:rsid w:val="005E5517"/>
    <w:rsid w:val="005E5BD8"/>
    <w:rsid w:val="005E62A1"/>
    <w:rsid w:val="006002B6"/>
    <w:rsid w:val="00600EAF"/>
    <w:rsid w:val="00604555"/>
    <w:rsid w:val="00606572"/>
    <w:rsid w:val="00614BE5"/>
    <w:rsid w:val="00615A5E"/>
    <w:rsid w:val="00617907"/>
    <w:rsid w:val="00617DE5"/>
    <w:rsid w:val="0062249B"/>
    <w:rsid w:val="00630558"/>
    <w:rsid w:val="00633ACB"/>
    <w:rsid w:val="0063792C"/>
    <w:rsid w:val="0064323D"/>
    <w:rsid w:val="00643B5F"/>
    <w:rsid w:val="0064485A"/>
    <w:rsid w:val="00652C6B"/>
    <w:rsid w:val="00655A36"/>
    <w:rsid w:val="006572E3"/>
    <w:rsid w:val="006636B9"/>
    <w:rsid w:val="006645E7"/>
    <w:rsid w:val="006663FD"/>
    <w:rsid w:val="0066731B"/>
    <w:rsid w:val="006708B1"/>
    <w:rsid w:val="006753E3"/>
    <w:rsid w:val="00676DC1"/>
    <w:rsid w:val="006825BE"/>
    <w:rsid w:val="006877DB"/>
    <w:rsid w:val="00693789"/>
    <w:rsid w:val="006961CD"/>
    <w:rsid w:val="00696918"/>
    <w:rsid w:val="006A1A3C"/>
    <w:rsid w:val="006A4761"/>
    <w:rsid w:val="006A6718"/>
    <w:rsid w:val="006B2680"/>
    <w:rsid w:val="006B4833"/>
    <w:rsid w:val="006C1A24"/>
    <w:rsid w:val="006C4419"/>
    <w:rsid w:val="006C6E7F"/>
    <w:rsid w:val="006E090B"/>
    <w:rsid w:val="006E36DD"/>
    <w:rsid w:val="006E435F"/>
    <w:rsid w:val="006E6169"/>
    <w:rsid w:val="006F4AE5"/>
    <w:rsid w:val="006F7052"/>
    <w:rsid w:val="0070043F"/>
    <w:rsid w:val="00701FC5"/>
    <w:rsid w:val="00713FDE"/>
    <w:rsid w:val="00714803"/>
    <w:rsid w:val="00716E85"/>
    <w:rsid w:val="00720C28"/>
    <w:rsid w:val="0072341B"/>
    <w:rsid w:val="00740F96"/>
    <w:rsid w:val="007432DF"/>
    <w:rsid w:val="00745850"/>
    <w:rsid w:val="007512E2"/>
    <w:rsid w:val="0075392B"/>
    <w:rsid w:val="0075491E"/>
    <w:rsid w:val="007565C2"/>
    <w:rsid w:val="0075673E"/>
    <w:rsid w:val="00756D4C"/>
    <w:rsid w:val="00761E93"/>
    <w:rsid w:val="0076506C"/>
    <w:rsid w:val="00766A2E"/>
    <w:rsid w:val="00766D24"/>
    <w:rsid w:val="0076749D"/>
    <w:rsid w:val="007700B9"/>
    <w:rsid w:val="0077159D"/>
    <w:rsid w:val="00772643"/>
    <w:rsid w:val="007772EF"/>
    <w:rsid w:val="0077749A"/>
    <w:rsid w:val="00777762"/>
    <w:rsid w:val="00780484"/>
    <w:rsid w:val="00784EA9"/>
    <w:rsid w:val="007943B2"/>
    <w:rsid w:val="007947A8"/>
    <w:rsid w:val="00794A01"/>
    <w:rsid w:val="00795BD9"/>
    <w:rsid w:val="00796FC3"/>
    <w:rsid w:val="007A2F4C"/>
    <w:rsid w:val="007A3C8B"/>
    <w:rsid w:val="007A4324"/>
    <w:rsid w:val="007B0937"/>
    <w:rsid w:val="007B2314"/>
    <w:rsid w:val="007B399C"/>
    <w:rsid w:val="007B61E4"/>
    <w:rsid w:val="007B67E1"/>
    <w:rsid w:val="007B6BE8"/>
    <w:rsid w:val="007B7049"/>
    <w:rsid w:val="007C1E3C"/>
    <w:rsid w:val="007C3A81"/>
    <w:rsid w:val="007C4A0E"/>
    <w:rsid w:val="007C7289"/>
    <w:rsid w:val="007D039E"/>
    <w:rsid w:val="007E2377"/>
    <w:rsid w:val="007E4F82"/>
    <w:rsid w:val="007E6815"/>
    <w:rsid w:val="007F292F"/>
    <w:rsid w:val="007F4AB0"/>
    <w:rsid w:val="007F7792"/>
    <w:rsid w:val="007F7923"/>
    <w:rsid w:val="00802760"/>
    <w:rsid w:val="00805B81"/>
    <w:rsid w:val="0081096B"/>
    <w:rsid w:val="0081349E"/>
    <w:rsid w:val="008149D0"/>
    <w:rsid w:val="00816003"/>
    <w:rsid w:val="0081767F"/>
    <w:rsid w:val="00821BEB"/>
    <w:rsid w:val="00823CCA"/>
    <w:rsid w:val="00837CC6"/>
    <w:rsid w:val="008416D7"/>
    <w:rsid w:val="00842F6B"/>
    <w:rsid w:val="00843645"/>
    <w:rsid w:val="00846C28"/>
    <w:rsid w:val="00855328"/>
    <w:rsid w:val="00857D8C"/>
    <w:rsid w:val="008633C8"/>
    <w:rsid w:val="00871FBD"/>
    <w:rsid w:val="00873C55"/>
    <w:rsid w:val="008747FE"/>
    <w:rsid w:val="0087689C"/>
    <w:rsid w:val="0088151C"/>
    <w:rsid w:val="00884969"/>
    <w:rsid w:val="008855F9"/>
    <w:rsid w:val="00885A97"/>
    <w:rsid w:val="008873FB"/>
    <w:rsid w:val="00891141"/>
    <w:rsid w:val="008912F2"/>
    <w:rsid w:val="00894672"/>
    <w:rsid w:val="00896D9A"/>
    <w:rsid w:val="00897C3C"/>
    <w:rsid w:val="008A1798"/>
    <w:rsid w:val="008A4ACD"/>
    <w:rsid w:val="008A4D32"/>
    <w:rsid w:val="008A6FBD"/>
    <w:rsid w:val="008B3C8F"/>
    <w:rsid w:val="008B6A31"/>
    <w:rsid w:val="008C034D"/>
    <w:rsid w:val="008C2872"/>
    <w:rsid w:val="008C4C93"/>
    <w:rsid w:val="008C5729"/>
    <w:rsid w:val="008C730E"/>
    <w:rsid w:val="008D41D3"/>
    <w:rsid w:val="008D4B59"/>
    <w:rsid w:val="008D6D15"/>
    <w:rsid w:val="008E505B"/>
    <w:rsid w:val="008E79D4"/>
    <w:rsid w:val="008F0F45"/>
    <w:rsid w:val="008F2BBF"/>
    <w:rsid w:val="008F2DB0"/>
    <w:rsid w:val="008F6496"/>
    <w:rsid w:val="009005CA"/>
    <w:rsid w:val="00903647"/>
    <w:rsid w:val="00905DE7"/>
    <w:rsid w:val="009071AC"/>
    <w:rsid w:val="009157D7"/>
    <w:rsid w:val="00916331"/>
    <w:rsid w:val="00921EC7"/>
    <w:rsid w:val="009237C3"/>
    <w:rsid w:val="0092582E"/>
    <w:rsid w:val="009301E1"/>
    <w:rsid w:val="009306F3"/>
    <w:rsid w:val="00930FD7"/>
    <w:rsid w:val="00931B73"/>
    <w:rsid w:val="009407E5"/>
    <w:rsid w:val="009425F1"/>
    <w:rsid w:val="009467D2"/>
    <w:rsid w:val="00954EB2"/>
    <w:rsid w:val="009626FD"/>
    <w:rsid w:val="0096284A"/>
    <w:rsid w:val="00967C58"/>
    <w:rsid w:val="009704C0"/>
    <w:rsid w:val="00972976"/>
    <w:rsid w:val="00981C0B"/>
    <w:rsid w:val="00982913"/>
    <w:rsid w:val="009829EA"/>
    <w:rsid w:val="00983CDF"/>
    <w:rsid w:val="0098598F"/>
    <w:rsid w:val="00985E5D"/>
    <w:rsid w:val="00986AEA"/>
    <w:rsid w:val="00991368"/>
    <w:rsid w:val="00992AAA"/>
    <w:rsid w:val="009B296C"/>
    <w:rsid w:val="009B50AD"/>
    <w:rsid w:val="009B7C71"/>
    <w:rsid w:val="009C10BF"/>
    <w:rsid w:val="009C1EE7"/>
    <w:rsid w:val="009C34DC"/>
    <w:rsid w:val="009C3681"/>
    <w:rsid w:val="009C5CE5"/>
    <w:rsid w:val="009C6FF4"/>
    <w:rsid w:val="009C733A"/>
    <w:rsid w:val="009C736A"/>
    <w:rsid w:val="009D06CE"/>
    <w:rsid w:val="009D2455"/>
    <w:rsid w:val="009D30A7"/>
    <w:rsid w:val="009D3F62"/>
    <w:rsid w:val="009E2929"/>
    <w:rsid w:val="009E2F1D"/>
    <w:rsid w:val="009E30F0"/>
    <w:rsid w:val="009E6A00"/>
    <w:rsid w:val="009E78BA"/>
    <w:rsid w:val="009F0EA7"/>
    <w:rsid w:val="009F33D8"/>
    <w:rsid w:val="009F4726"/>
    <w:rsid w:val="009F51E3"/>
    <w:rsid w:val="009F5866"/>
    <w:rsid w:val="009F728C"/>
    <w:rsid w:val="00A02FED"/>
    <w:rsid w:val="00A03C1C"/>
    <w:rsid w:val="00A10B86"/>
    <w:rsid w:val="00A13130"/>
    <w:rsid w:val="00A2088C"/>
    <w:rsid w:val="00A25EDA"/>
    <w:rsid w:val="00A30BFD"/>
    <w:rsid w:val="00A344CE"/>
    <w:rsid w:val="00A345E8"/>
    <w:rsid w:val="00A42A2C"/>
    <w:rsid w:val="00A448AD"/>
    <w:rsid w:val="00A458BE"/>
    <w:rsid w:val="00A47DE5"/>
    <w:rsid w:val="00A50DEC"/>
    <w:rsid w:val="00A60FE5"/>
    <w:rsid w:val="00A64198"/>
    <w:rsid w:val="00A646A7"/>
    <w:rsid w:val="00A64D04"/>
    <w:rsid w:val="00A7324E"/>
    <w:rsid w:val="00A755C3"/>
    <w:rsid w:val="00A76074"/>
    <w:rsid w:val="00A77D04"/>
    <w:rsid w:val="00A81E55"/>
    <w:rsid w:val="00A820ED"/>
    <w:rsid w:val="00A84C4E"/>
    <w:rsid w:val="00A8518B"/>
    <w:rsid w:val="00A90EA5"/>
    <w:rsid w:val="00A91261"/>
    <w:rsid w:val="00A92099"/>
    <w:rsid w:val="00A954AB"/>
    <w:rsid w:val="00A97B3C"/>
    <w:rsid w:val="00AA04BB"/>
    <w:rsid w:val="00AA3A8D"/>
    <w:rsid w:val="00AA560C"/>
    <w:rsid w:val="00AB3050"/>
    <w:rsid w:val="00AB3760"/>
    <w:rsid w:val="00AB3F9E"/>
    <w:rsid w:val="00AB569F"/>
    <w:rsid w:val="00AB78D2"/>
    <w:rsid w:val="00AC26EC"/>
    <w:rsid w:val="00AC4423"/>
    <w:rsid w:val="00AC5C69"/>
    <w:rsid w:val="00AD1002"/>
    <w:rsid w:val="00AD3C9A"/>
    <w:rsid w:val="00AD67DA"/>
    <w:rsid w:val="00AD7E65"/>
    <w:rsid w:val="00AE0DE6"/>
    <w:rsid w:val="00AE331A"/>
    <w:rsid w:val="00AF6CE3"/>
    <w:rsid w:val="00B00163"/>
    <w:rsid w:val="00B01583"/>
    <w:rsid w:val="00B03BF0"/>
    <w:rsid w:val="00B0522D"/>
    <w:rsid w:val="00B068CB"/>
    <w:rsid w:val="00B06A72"/>
    <w:rsid w:val="00B07E55"/>
    <w:rsid w:val="00B117B5"/>
    <w:rsid w:val="00B117D3"/>
    <w:rsid w:val="00B1290E"/>
    <w:rsid w:val="00B16B8B"/>
    <w:rsid w:val="00B17531"/>
    <w:rsid w:val="00B317B5"/>
    <w:rsid w:val="00B3502A"/>
    <w:rsid w:val="00B36FE6"/>
    <w:rsid w:val="00B40A3C"/>
    <w:rsid w:val="00B46ECB"/>
    <w:rsid w:val="00B47151"/>
    <w:rsid w:val="00B51082"/>
    <w:rsid w:val="00B511AB"/>
    <w:rsid w:val="00B54509"/>
    <w:rsid w:val="00B54619"/>
    <w:rsid w:val="00B61133"/>
    <w:rsid w:val="00B61E0D"/>
    <w:rsid w:val="00B62641"/>
    <w:rsid w:val="00B62D0E"/>
    <w:rsid w:val="00B63DCA"/>
    <w:rsid w:val="00B65553"/>
    <w:rsid w:val="00B66563"/>
    <w:rsid w:val="00B716F9"/>
    <w:rsid w:val="00B72D6B"/>
    <w:rsid w:val="00B74C41"/>
    <w:rsid w:val="00B76A50"/>
    <w:rsid w:val="00B76CE0"/>
    <w:rsid w:val="00B76EA5"/>
    <w:rsid w:val="00B77237"/>
    <w:rsid w:val="00B808B1"/>
    <w:rsid w:val="00B8090B"/>
    <w:rsid w:val="00B90E96"/>
    <w:rsid w:val="00B91EE7"/>
    <w:rsid w:val="00B925A2"/>
    <w:rsid w:val="00B92837"/>
    <w:rsid w:val="00B9352C"/>
    <w:rsid w:val="00B95336"/>
    <w:rsid w:val="00B95E92"/>
    <w:rsid w:val="00B97CA8"/>
    <w:rsid w:val="00BA0B8C"/>
    <w:rsid w:val="00BA46EE"/>
    <w:rsid w:val="00BA5901"/>
    <w:rsid w:val="00BB01DB"/>
    <w:rsid w:val="00BB147B"/>
    <w:rsid w:val="00BB3440"/>
    <w:rsid w:val="00BB3B3B"/>
    <w:rsid w:val="00BB4475"/>
    <w:rsid w:val="00BB52C6"/>
    <w:rsid w:val="00BB5637"/>
    <w:rsid w:val="00BB5B6D"/>
    <w:rsid w:val="00BB7AF3"/>
    <w:rsid w:val="00BC10A2"/>
    <w:rsid w:val="00BC2AA5"/>
    <w:rsid w:val="00BC3670"/>
    <w:rsid w:val="00BC3BA5"/>
    <w:rsid w:val="00BC7693"/>
    <w:rsid w:val="00BC7DE9"/>
    <w:rsid w:val="00BD397C"/>
    <w:rsid w:val="00BD446B"/>
    <w:rsid w:val="00BD5F83"/>
    <w:rsid w:val="00BD74DB"/>
    <w:rsid w:val="00BE076B"/>
    <w:rsid w:val="00BE20D1"/>
    <w:rsid w:val="00BE3780"/>
    <w:rsid w:val="00BF0AFA"/>
    <w:rsid w:val="00BF24F3"/>
    <w:rsid w:val="00C007F3"/>
    <w:rsid w:val="00C037CC"/>
    <w:rsid w:val="00C045FD"/>
    <w:rsid w:val="00C07128"/>
    <w:rsid w:val="00C13234"/>
    <w:rsid w:val="00C23444"/>
    <w:rsid w:val="00C3418C"/>
    <w:rsid w:val="00C35E7E"/>
    <w:rsid w:val="00C41428"/>
    <w:rsid w:val="00C4254A"/>
    <w:rsid w:val="00C43A77"/>
    <w:rsid w:val="00C442EE"/>
    <w:rsid w:val="00C44FEA"/>
    <w:rsid w:val="00C501B2"/>
    <w:rsid w:val="00C5198A"/>
    <w:rsid w:val="00C524C6"/>
    <w:rsid w:val="00C57DA0"/>
    <w:rsid w:val="00C65AF6"/>
    <w:rsid w:val="00C66C97"/>
    <w:rsid w:val="00C72C9F"/>
    <w:rsid w:val="00C815D9"/>
    <w:rsid w:val="00C837FD"/>
    <w:rsid w:val="00C848D4"/>
    <w:rsid w:val="00C84C46"/>
    <w:rsid w:val="00C9225E"/>
    <w:rsid w:val="00CA1F66"/>
    <w:rsid w:val="00CA34EC"/>
    <w:rsid w:val="00CB650C"/>
    <w:rsid w:val="00CB6ABB"/>
    <w:rsid w:val="00CB6D2D"/>
    <w:rsid w:val="00CB7735"/>
    <w:rsid w:val="00CC1F48"/>
    <w:rsid w:val="00CC2D88"/>
    <w:rsid w:val="00CC42E7"/>
    <w:rsid w:val="00CC50ED"/>
    <w:rsid w:val="00CC5437"/>
    <w:rsid w:val="00CC5C4D"/>
    <w:rsid w:val="00CC682C"/>
    <w:rsid w:val="00CD21CF"/>
    <w:rsid w:val="00CD57F4"/>
    <w:rsid w:val="00CD5A72"/>
    <w:rsid w:val="00CD68BF"/>
    <w:rsid w:val="00CD7A0D"/>
    <w:rsid w:val="00CE2432"/>
    <w:rsid w:val="00CE3833"/>
    <w:rsid w:val="00CE3BBC"/>
    <w:rsid w:val="00CE4878"/>
    <w:rsid w:val="00CE664F"/>
    <w:rsid w:val="00CE6D38"/>
    <w:rsid w:val="00CF3556"/>
    <w:rsid w:val="00CF7A53"/>
    <w:rsid w:val="00D018A2"/>
    <w:rsid w:val="00D02DBC"/>
    <w:rsid w:val="00D05DC3"/>
    <w:rsid w:val="00D11A36"/>
    <w:rsid w:val="00D12633"/>
    <w:rsid w:val="00D139FD"/>
    <w:rsid w:val="00D14AF4"/>
    <w:rsid w:val="00D16AE8"/>
    <w:rsid w:val="00D16D7D"/>
    <w:rsid w:val="00D175CB"/>
    <w:rsid w:val="00D17633"/>
    <w:rsid w:val="00D25CC4"/>
    <w:rsid w:val="00D2615B"/>
    <w:rsid w:val="00D335E0"/>
    <w:rsid w:val="00D35E4A"/>
    <w:rsid w:val="00D3657F"/>
    <w:rsid w:val="00D41F37"/>
    <w:rsid w:val="00D4557D"/>
    <w:rsid w:val="00D46BF1"/>
    <w:rsid w:val="00D50BB2"/>
    <w:rsid w:val="00D52872"/>
    <w:rsid w:val="00D53F50"/>
    <w:rsid w:val="00D54FAA"/>
    <w:rsid w:val="00D61819"/>
    <w:rsid w:val="00D628FE"/>
    <w:rsid w:val="00D6482A"/>
    <w:rsid w:val="00D769F4"/>
    <w:rsid w:val="00D816F4"/>
    <w:rsid w:val="00D82AB6"/>
    <w:rsid w:val="00D82F88"/>
    <w:rsid w:val="00D833B4"/>
    <w:rsid w:val="00D8368F"/>
    <w:rsid w:val="00D8484B"/>
    <w:rsid w:val="00D85FA9"/>
    <w:rsid w:val="00D9065A"/>
    <w:rsid w:val="00D92931"/>
    <w:rsid w:val="00D92F2E"/>
    <w:rsid w:val="00D941F9"/>
    <w:rsid w:val="00D942EC"/>
    <w:rsid w:val="00D94C2E"/>
    <w:rsid w:val="00D9663C"/>
    <w:rsid w:val="00DA7186"/>
    <w:rsid w:val="00DA762B"/>
    <w:rsid w:val="00DB05AF"/>
    <w:rsid w:val="00DB0FE7"/>
    <w:rsid w:val="00DB2EB7"/>
    <w:rsid w:val="00DB412E"/>
    <w:rsid w:val="00DB5DBF"/>
    <w:rsid w:val="00DB6C6E"/>
    <w:rsid w:val="00DB73F1"/>
    <w:rsid w:val="00DB7EB4"/>
    <w:rsid w:val="00DC09D5"/>
    <w:rsid w:val="00DC1BAB"/>
    <w:rsid w:val="00DC2FF5"/>
    <w:rsid w:val="00DC3CE5"/>
    <w:rsid w:val="00DC4A5A"/>
    <w:rsid w:val="00DC4E62"/>
    <w:rsid w:val="00DC51A3"/>
    <w:rsid w:val="00DD18F4"/>
    <w:rsid w:val="00DD3EBB"/>
    <w:rsid w:val="00DE059B"/>
    <w:rsid w:val="00DE07FA"/>
    <w:rsid w:val="00DE11DE"/>
    <w:rsid w:val="00DE17E0"/>
    <w:rsid w:val="00DE19DB"/>
    <w:rsid w:val="00DE599D"/>
    <w:rsid w:val="00DE5C6D"/>
    <w:rsid w:val="00DF4070"/>
    <w:rsid w:val="00E00FC4"/>
    <w:rsid w:val="00E03200"/>
    <w:rsid w:val="00E04274"/>
    <w:rsid w:val="00E07042"/>
    <w:rsid w:val="00E105F5"/>
    <w:rsid w:val="00E15F6B"/>
    <w:rsid w:val="00E162BB"/>
    <w:rsid w:val="00E1720A"/>
    <w:rsid w:val="00E213B3"/>
    <w:rsid w:val="00E22E2C"/>
    <w:rsid w:val="00E30B05"/>
    <w:rsid w:val="00E32103"/>
    <w:rsid w:val="00E33368"/>
    <w:rsid w:val="00E34D14"/>
    <w:rsid w:val="00E35FFC"/>
    <w:rsid w:val="00E434B9"/>
    <w:rsid w:val="00E44E72"/>
    <w:rsid w:val="00E4641C"/>
    <w:rsid w:val="00E477C7"/>
    <w:rsid w:val="00E47B26"/>
    <w:rsid w:val="00E537C5"/>
    <w:rsid w:val="00E53B17"/>
    <w:rsid w:val="00E57E7D"/>
    <w:rsid w:val="00E601EE"/>
    <w:rsid w:val="00E655E7"/>
    <w:rsid w:val="00E67085"/>
    <w:rsid w:val="00E678D0"/>
    <w:rsid w:val="00E70733"/>
    <w:rsid w:val="00E71EC7"/>
    <w:rsid w:val="00E721E1"/>
    <w:rsid w:val="00E73FA5"/>
    <w:rsid w:val="00E779BE"/>
    <w:rsid w:val="00E81688"/>
    <w:rsid w:val="00E8353E"/>
    <w:rsid w:val="00E877B0"/>
    <w:rsid w:val="00E87CD1"/>
    <w:rsid w:val="00E920F6"/>
    <w:rsid w:val="00E925EF"/>
    <w:rsid w:val="00E94EBF"/>
    <w:rsid w:val="00E950FF"/>
    <w:rsid w:val="00E9613C"/>
    <w:rsid w:val="00E96A71"/>
    <w:rsid w:val="00E96AF9"/>
    <w:rsid w:val="00E97A5E"/>
    <w:rsid w:val="00EA24A0"/>
    <w:rsid w:val="00EA439F"/>
    <w:rsid w:val="00EA6273"/>
    <w:rsid w:val="00EA7300"/>
    <w:rsid w:val="00EA7DA9"/>
    <w:rsid w:val="00EB18DB"/>
    <w:rsid w:val="00EB2CDB"/>
    <w:rsid w:val="00EB4439"/>
    <w:rsid w:val="00EB6AEB"/>
    <w:rsid w:val="00EC05EA"/>
    <w:rsid w:val="00EC6545"/>
    <w:rsid w:val="00EC693A"/>
    <w:rsid w:val="00EC7768"/>
    <w:rsid w:val="00ED0742"/>
    <w:rsid w:val="00ED0D8C"/>
    <w:rsid w:val="00ED1A32"/>
    <w:rsid w:val="00ED3AEC"/>
    <w:rsid w:val="00ED3C6F"/>
    <w:rsid w:val="00EE0FD0"/>
    <w:rsid w:val="00EE133C"/>
    <w:rsid w:val="00EE3987"/>
    <w:rsid w:val="00EE3CF5"/>
    <w:rsid w:val="00EE4055"/>
    <w:rsid w:val="00EE4853"/>
    <w:rsid w:val="00EE5A2C"/>
    <w:rsid w:val="00EE5C5D"/>
    <w:rsid w:val="00EE656A"/>
    <w:rsid w:val="00EF009F"/>
    <w:rsid w:val="00EF3E23"/>
    <w:rsid w:val="00EF411C"/>
    <w:rsid w:val="00EF5443"/>
    <w:rsid w:val="00EF6728"/>
    <w:rsid w:val="00EF7F83"/>
    <w:rsid w:val="00F05390"/>
    <w:rsid w:val="00F0733F"/>
    <w:rsid w:val="00F147FA"/>
    <w:rsid w:val="00F14B29"/>
    <w:rsid w:val="00F21C23"/>
    <w:rsid w:val="00F24631"/>
    <w:rsid w:val="00F25216"/>
    <w:rsid w:val="00F2542E"/>
    <w:rsid w:val="00F26226"/>
    <w:rsid w:val="00F32594"/>
    <w:rsid w:val="00F439D2"/>
    <w:rsid w:val="00F46A80"/>
    <w:rsid w:val="00F47CEC"/>
    <w:rsid w:val="00F50C96"/>
    <w:rsid w:val="00F51ECC"/>
    <w:rsid w:val="00F5266E"/>
    <w:rsid w:val="00F554FB"/>
    <w:rsid w:val="00F61BBA"/>
    <w:rsid w:val="00F65C73"/>
    <w:rsid w:val="00F70A1F"/>
    <w:rsid w:val="00F74020"/>
    <w:rsid w:val="00F77C8A"/>
    <w:rsid w:val="00F80A38"/>
    <w:rsid w:val="00F83C91"/>
    <w:rsid w:val="00F9378B"/>
    <w:rsid w:val="00F93C54"/>
    <w:rsid w:val="00F9553A"/>
    <w:rsid w:val="00F96B03"/>
    <w:rsid w:val="00F97644"/>
    <w:rsid w:val="00FA271E"/>
    <w:rsid w:val="00FA2BCE"/>
    <w:rsid w:val="00FA2FFF"/>
    <w:rsid w:val="00FA3D8D"/>
    <w:rsid w:val="00FA469D"/>
    <w:rsid w:val="00FA7031"/>
    <w:rsid w:val="00FB3580"/>
    <w:rsid w:val="00FB4183"/>
    <w:rsid w:val="00FB6370"/>
    <w:rsid w:val="00FC2AB0"/>
    <w:rsid w:val="00FC5475"/>
    <w:rsid w:val="00FC6463"/>
    <w:rsid w:val="00FC6DAB"/>
    <w:rsid w:val="00FC715D"/>
    <w:rsid w:val="00FD1981"/>
    <w:rsid w:val="00FD50BA"/>
    <w:rsid w:val="00FE0750"/>
    <w:rsid w:val="00FE13FE"/>
    <w:rsid w:val="00FE15BB"/>
    <w:rsid w:val="00FE1FBC"/>
    <w:rsid w:val="00FE205C"/>
    <w:rsid w:val="00FE4A6D"/>
    <w:rsid w:val="00FF18C8"/>
    <w:rsid w:val="00FF270F"/>
    <w:rsid w:val="00FF60E1"/>
    <w:rsid w:val="00FF71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9301E1"/>
    <w:pPr>
      <w:keepNext/>
      <w:outlineLvl w:val="1"/>
    </w:pPr>
    <w:rPr>
      <w:b/>
      <w:u w:val="single"/>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2E2D69"/>
    <w:rPr>
      <w:i/>
      <w:iCs/>
    </w:rPr>
  </w:style>
  <w:style w:type="paragraph" w:styleId="NormalWeb">
    <w:name w:val="Normal (Web)"/>
    <w:basedOn w:val="Normal"/>
    <w:uiPriority w:val="99"/>
    <w:semiHidden/>
    <w:unhideWhenUsed/>
    <w:rsid w:val="00B36FE6"/>
    <w:pPr>
      <w:spacing w:before="100" w:beforeAutospacing="1" w:after="100" w:afterAutospacing="1"/>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C2FF5"/>
    <w:rPr>
      <w:color w:val="605E5C"/>
      <w:shd w:val="clear" w:color="auto" w:fill="E1DFDD"/>
    </w:rPr>
  </w:style>
  <w:style w:type="paragraph" w:customStyle="1" w:styleId="BulletNew">
    <w:name w:val="Bullet New"/>
    <w:basedOn w:val="BBClause2"/>
    <w:uiPriority w:val="99"/>
    <w:qFormat/>
    <w:rsid w:val="00F47CEC"/>
    <w:pPr>
      <w:numPr>
        <w:ilvl w:val="2"/>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2.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63"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AK2ZMWYHZNRD-2128999959-2782</_dlc_DocId>
    <_dlc_DocIdUrl xmlns="a213c276-2966-4a61-88a3-9acec9d9c2c2">
      <Url>https://beisgov.sharepoint.com/sites/GBECompany-EXT-OS-GBELocal/_layouts/15/DocIdRedir.aspx?ID=AK2ZMWYHZNRD-2128999959-2782</Url>
      <Description>AK2ZMWYHZNRD-2128999959-2782</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DFBAC736-B84E-4A37-817B-D9CEF77F1C21}"/>
</file>

<file path=customXml/itemProps4.xml><?xml version="1.0" encoding="utf-8"?>
<ds:datastoreItem xmlns:ds="http://schemas.openxmlformats.org/officeDocument/2006/customXml" ds:itemID="{C13FF9E1-0EA4-4FDB-8DAE-4CAC091DF85F}"/>
</file>

<file path=customXml/itemProps5.xml><?xml version="1.0" encoding="utf-8"?>
<ds:datastoreItem xmlns:ds="http://schemas.openxmlformats.org/officeDocument/2006/customXml" ds:itemID="{75516011-3F7D-4ABC-B916-599E511DA2C7}"/>
</file>

<file path=customXml/itemProps6.xml><?xml version="1.0" encoding="utf-8"?>
<ds:datastoreItem xmlns:ds="http://schemas.openxmlformats.org/officeDocument/2006/customXml" ds:itemID="{28B881BC-533A-4A2D-B215-DFFC1F0F1ED0}"/>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2</TotalTime>
  <Pages>10</Pages>
  <Words>2816</Words>
  <Characters>15426</Characters>
  <Application>Microsoft Office Word</Application>
  <DocSecurity>0</DocSecurity>
  <Lines>342</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5</cp:revision>
  <cp:lastPrinted>2026-02-24T10:19:00Z</cp:lastPrinted>
  <dcterms:created xsi:type="dcterms:W3CDTF">2026-03-27T16:44:00Z</dcterms:created>
  <dcterms:modified xsi:type="dcterms:W3CDTF">2026-03-27T16:45:00Z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94223031</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Form of Sub-Contractor Collateral Warranty</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Matters\94223031.1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9e1ee751-1ebe-4c6d-9236-953e6bd23c3a</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