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904A5" w14:textId="23538C93" w:rsidR="002A5913" w:rsidRPr="00BD5F83" w:rsidRDefault="002A5913" w:rsidP="000719FC">
      <w:pPr>
        <w:pStyle w:val="BodyText"/>
        <w:rPr>
          <w:b/>
          <w:szCs w:val="22"/>
        </w:rPr>
      </w:pPr>
    </w:p>
    <w:p w14:paraId="12A420A9" w14:textId="77777777" w:rsidR="002A5913" w:rsidRPr="00BD5F83" w:rsidRDefault="002A5913" w:rsidP="000719FC">
      <w:pPr>
        <w:pStyle w:val="BodyText"/>
        <w:rPr>
          <w:szCs w:val="22"/>
        </w:rPr>
      </w:pPr>
    </w:p>
    <w:p w14:paraId="3D85AA78" w14:textId="04FEC8D9" w:rsidR="002A5913" w:rsidRDefault="002A5913" w:rsidP="000719FC">
      <w:pPr>
        <w:pStyle w:val="BodyText"/>
        <w:rPr>
          <w:szCs w:val="22"/>
        </w:rPr>
      </w:pPr>
    </w:p>
    <w:p w14:paraId="3D6BDF56" w14:textId="14A95131" w:rsidR="00A30BFD" w:rsidRPr="00262AD1" w:rsidRDefault="00873C55" w:rsidP="00D141A0">
      <w:pPr>
        <w:pStyle w:val="BodyText"/>
        <w:jc w:val="center"/>
        <w:rPr>
          <w:szCs w:val="22"/>
        </w:rPr>
      </w:pPr>
      <w:r w:rsidRPr="00262AD1">
        <w:rPr>
          <w:noProof/>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262AD1" w:rsidRDefault="00B95336" w:rsidP="000719FC">
      <w:pPr>
        <w:pStyle w:val="BodyText"/>
        <w:rPr>
          <w:szCs w:val="22"/>
        </w:rPr>
      </w:pPr>
    </w:p>
    <w:p w14:paraId="79D6F4F7" w14:textId="77777777" w:rsidR="002A5913" w:rsidRPr="00262AD1" w:rsidRDefault="002A5913" w:rsidP="000719FC">
      <w:pPr>
        <w:pStyle w:val="BodyText"/>
        <w:rPr>
          <w:szCs w:val="22"/>
        </w:rPr>
      </w:pPr>
    </w:p>
    <w:p w14:paraId="46808E62" w14:textId="77777777" w:rsidR="002A5913" w:rsidRPr="00262AD1" w:rsidRDefault="002A5913" w:rsidP="000719FC">
      <w:pPr>
        <w:pStyle w:val="BodyText"/>
        <w:rPr>
          <w:szCs w:val="22"/>
        </w:rPr>
      </w:pPr>
    </w:p>
    <w:p w14:paraId="4CE319BF" w14:textId="77777777" w:rsidR="002A5913" w:rsidRPr="00262AD1" w:rsidRDefault="002A5913" w:rsidP="000719FC">
      <w:pPr>
        <w:pStyle w:val="BodyText"/>
        <w:pBdr>
          <w:top w:val="single" w:sz="4" w:space="1" w:color="auto"/>
        </w:pBdr>
        <w:ind w:left="2410" w:right="2363"/>
        <w:rPr>
          <w:szCs w:val="22"/>
        </w:rPr>
      </w:pPr>
    </w:p>
    <w:p w14:paraId="1C04C805" w14:textId="77777777" w:rsidR="005C120E" w:rsidRPr="00262AD1" w:rsidRDefault="005C120E" w:rsidP="002A75CB">
      <w:pPr>
        <w:pStyle w:val="BodyText"/>
        <w:jc w:val="center"/>
        <w:rPr>
          <w:rFonts w:asciiTheme="majorHAnsi" w:hAnsiTheme="majorHAnsi"/>
          <w:b/>
          <w:szCs w:val="22"/>
        </w:rPr>
      </w:pPr>
      <w:r w:rsidRPr="00262AD1">
        <w:rPr>
          <w:rFonts w:asciiTheme="majorHAnsi" w:hAnsiTheme="majorHAnsi"/>
          <w:b/>
          <w:szCs w:val="22"/>
        </w:rPr>
        <w:t>GREAT BRITISH ENERGY</w:t>
      </w:r>
    </w:p>
    <w:p w14:paraId="7E7A3750" w14:textId="78187E8F" w:rsidR="005C120E" w:rsidRPr="00262AD1" w:rsidRDefault="00326E6D" w:rsidP="002A75CB">
      <w:pPr>
        <w:pStyle w:val="BodyText"/>
        <w:jc w:val="center"/>
        <w:rPr>
          <w:rFonts w:asciiTheme="majorHAnsi" w:hAnsiTheme="majorHAnsi"/>
          <w:b/>
          <w:szCs w:val="22"/>
        </w:rPr>
      </w:pPr>
      <w:r w:rsidRPr="00262AD1">
        <w:rPr>
          <w:rFonts w:asciiTheme="majorHAnsi" w:hAnsiTheme="majorHAnsi"/>
          <w:b/>
          <w:szCs w:val="22"/>
        </w:rPr>
        <w:t>SERVICE CONTRACT (APPOINTMENT OF CONSULTANT) – LEGAL GUIDANCE</w:t>
      </w:r>
    </w:p>
    <w:p w14:paraId="2D3AC641" w14:textId="77777777" w:rsidR="00390A93" w:rsidRPr="00262AD1" w:rsidRDefault="00390A93" w:rsidP="000719FC">
      <w:pPr>
        <w:pStyle w:val="BodyText"/>
        <w:pBdr>
          <w:bottom w:val="single" w:sz="4" w:space="1" w:color="auto"/>
        </w:pBdr>
        <w:ind w:left="2410" w:right="2364"/>
        <w:rPr>
          <w:szCs w:val="22"/>
        </w:rPr>
      </w:pPr>
    </w:p>
    <w:p w14:paraId="0E4780E9" w14:textId="77777777" w:rsidR="002A5913" w:rsidRPr="00262AD1" w:rsidRDefault="002A5913" w:rsidP="000719FC">
      <w:pPr>
        <w:pStyle w:val="BodyText"/>
        <w:rPr>
          <w:szCs w:val="22"/>
        </w:rPr>
      </w:pPr>
    </w:p>
    <w:p w14:paraId="68292FBB" w14:textId="77777777" w:rsidR="002A5913" w:rsidRPr="00262AD1" w:rsidRDefault="002A5913" w:rsidP="000719FC">
      <w:pPr>
        <w:pStyle w:val="BodyText"/>
        <w:rPr>
          <w:szCs w:val="22"/>
        </w:rPr>
      </w:pPr>
    </w:p>
    <w:p w14:paraId="60140348" w14:textId="77777777" w:rsidR="00FC6DAB" w:rsidRPr="00262AD1" w:rsidRDefault="00FC6DAB" w:rsidP="000719FC">
      <w:pPr>
        <w:pStyle w:val="BodyText"/>
        <w:rPr>
          <w:szCs w:val="22"/>
        </w:rPr>
      </w:pPr>
    </w:p>
    <w:p w14:paraId="68A09208" w14:textId="77777777" w:rsidR="00FC6DAB" w:rsidRPr="00262AD1" w:rsidRDefault="00FC6DAB" w:rsidP="000719FC">
      <w:pPr>
        <w:pStyle w:val="BodyText"/>
        <w:rPr>
          <w:szCs w:val="22"/>
        </w:rPr>
      </w:pPr>
    </w:p>
    <w:p w14:paraId="2594E74D" w14:textId="77777777" w:rsidR="00FC6DAB" w:rsidRPr="00262AD1" w:rsidRDefault="00FC6DAB" w:rsidP="000719FC">
      <w:pPr>
        <w:pStyle w:val="BodyText"/>
        <w:rPr>
          <w:i/>
          <w:iCs/>
          <w:szCs w:val="22"/>
        </w:rPr>
      </w:pPr>
    </w:p>
    <w:p w14:paraId="5893713D" w14:textId="77777777" w:rsidR="00FC6DAB" w:rsidRPr="00262AD1" w:rsidRDefault="00FC6DAB" w:rsidP="000719FC">
      <w:pPr>
        <w:pStyle w:val="BodyText"/>
        <w:rPr>
          <w:szCs w:val="22"/>
        </w:rPr>
      </w:pPr>
    </w:p>
    <w:p w14:paraId="6A6A969E" w14:textId="77777777" w:rsidR="00FC6DAB" w:rsidRPr="00262AD1" w:rsidRDefault="00FC6DAB" w:rsidP="000719FC">
      <w:pPr>
        <w:pStyle w:val="BodyText"/>
        <w:rPr>
          <w:szCs w:val="22"/>
        </w:rPr>
      </w:pPr>
    </w:p>
    <w:p w14:paraId="60161E4F" w14:textId="77777777" w:rsidR="00FC6DAB" w:rsidRPr="00262AD1" w:rsidRDefault="00FC6DAB" w:rsidP="000719FC">
      <w:pPr>
        <w:pStyle w:val="BodyText"/>
        <w:rPr>
          <w:szCs w:val="22"/>
        </w:rPr>
      </w:pPr>
    </w:p>
    <w:p w14:paraId="27A353EF" w14:textId="77777777" w:rsidR="009829EA" w:rsidRPr="00262AD1" w:rsidRDefault="009829EA" w:rsidP="000719FC">
      <w:pPr>
        <w:pStyle w:val="BodyText"/>
        <w:rPr>
          <w:sz w:val="20"/>
        </w:rPr>
      </w:pPr>
    </w:p>
    <w:p w14:paraId="586D8E72" w14:textId="735BCD90" w:rsidR="00A30BFD" w:rsidRPr="00262AD1" w:rsidRDefault="00A30BFD" w:rsidP="000719FC">
      <w:pPr>
        <w:pStyle w:val="BodyText"/>
        <w:spacing w:after="0"/>
        <w:rPr>
          <w:b/>
        </w:rPr>
      </w:pPr>
      <w:bookmarkStart w:id="0" w:name="labFirmEntities"/>
      <w:bookmarkEnd w:id="0"/>
    </w:p>
    <w:p w14:paraId="164CAD47" w14:textId="77777777" w:rsidR="002A5913" w:rsidRPr="00262AD1" w:rsidRDefault="002A5913" w:rsidP="000719FC">
      <w:pPr>
        <w:pStyle w:val="BodyText"/>
        <w:rPr>
          <w:szCs w:val="22"/>
        </w:rPr>
        <w:sectPr w:rsidR="002A5913" w:rsidRPr="00262AD1" w:rsidSect="000B701C">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262AD1" w:rsidRDefault="002A5913" w:rsidP="000719FC">
      <w:pPr>
        <w:pStyle w:val="BodyText"/>
        <w:rPr>
          <w:b/>
          <w:szCs w:val="22"/>
        </w:rPr>
      </w:pPr>
      <w:r w:rsidRPr="00262AD1">
        <w:rPr>
          <w:b/>
          <w:szCs w:val="22"/>
        </w:rPr>
        <w:lastRenderedPageBreak/>
        <w:t>CONTENTS</w:t>
      </w:r>
    </w:p>
    <w:tbl>
      <w:tblPr>
        <w:tblW w:w="5000" w:type="pct"/>
        <w:tblLook w:val="01E0" w:firstRow="1" w:lastRow="1" w:firstColumn="1" w:lastColumn="1" w:noHBand="0" w:noVBand="0"/>
      </w:tblPr>
      <w:tblGrid>
        <w:gridCol w:w="7818"/>
        <w:gridCol w:w="1252"/>
      </w:tblGrid>
      <w:tr w:rsidR="002A5913" w:rsidRPr="00262AD1" w14:paraId="3950B35A" w14:textId="77777777" w:rsidTr="00821BEB">
        <w:tc>
          <w:tcPr>
            <w:tcW w:w="4310" w:type="pct"/>
          </w:tcPr>
          <w:p w14:paraId="155F169C" w14:textId="7D942816" w:rsidR="002A5913" w:rsidRPr="00262AD1" w:rsidRDefault="002A5913" w:rsidP="000719FC">
            <w:pPr>
              <w:pStyle w:val="BodyText"/>
              <w:ind w:left="-79"/>
              <w:rPr>
                <w:szCs w:val="22"/>
              </w:rPr>
            </w:pPr>
            <w:r w:rsidRPr="00262AD1">
              <w:rPr>
                <w:b/>
                <w:szCs w:val="22"/>
              </w:rPr>
              <w:t>Clause Heading</w:t>
            </w:r>
          </w:p>
        </w:tc>
        <w:tc>
          <w:tcPr>
            <w:tcW w:w="690" w:type="pct"/>
          </w:tcPr>
          <w:p w14:paraId="7BF32148" w14:textId="77777777" w:rsidR="002A5913" w:rsidRPr="00262AD1" w:rsidRDefault="002A5913" w:rsidP="000719FC">
            <w:pPr>
              <w:pStyle w:val="BodyText"/>
              <w:rPr>
                <w:szCs w:val="22"/>
              </w:rPr>
            </w:pPr>
            <w:r w:rsidRPr="00262AD1">
              <w:rPr>
                <w:b/>
                <w:szCs w:val="22"/>
              </w:rPr>
              <w:t>Page</w:t>
            </w:r>
          </w:p>
        </w:tc>
      </w:tr>
    </w:tbl>
    <w:p w14:paraId="1F0881DB" w14:textId="5D7C7BD5" w:rsidR="009963D5" w:rsidRDefault="002A5913">
      <w:pPr>
        <w:pStyle w:val="TOC1"/>
        <w:rPr>
          <w:rFonts w:asciiTheme="minorHAnsi" w:eastAsiaTheme="minorEastAsia" w:hAnsiTheme="minorHAnsi" w:cstheme="minorBidi"/>
          <w:noProof/>
          <w:kern w:val="2"/>
          <w:sz w:val="24"/>
          <w:szCs w:val="24"/>
          <w:lang w:eastAsia="en-GB"/>
          <w14:ligatures w14:val="standardContextual"/>
        </w:rPr>
      </w:pPr>
      <w:r w:rsidRPr="00262AD1">
        <w:rPr>
          <w:noProof/>
          <w:sz w:val="22"/>
          <w:szCs w:val="22"/>
        </w:rPr>
        <w:fldChar w:fldCharType="begin"/>
      </w:r>
      <w:r w:rsidRPr="00262AD1">
        <w:rPr>
          <w:sz w:val="22"/>
          <w:szCs w:val="22"/>
        </w:rPr>
        <w:instrText xml:space="preserve"> TOC \o "1-1"\n "2-2" \h \z \t "B&amp;B Heading 1,1,B&amp;B Schedule Sub-title,2,B&amp;B Schedule Title,1" </w:instrText>
      </w:r>
      <w:r w:rsidRPr="00262AD1">
        <w:rPr>
          <w:noProof/>
          <w:sz w:val="22"/>
          <w:szCs w:val="22"/>
        </w:rPr>
        <w:fldChar w:fldCharType="separate"/>
      </w:r>
      <w:hyperlink w:anchor="_Toc225452243" w:history="1">
        <w:r w:rsidR="009963D5" w:rsidRPr="002B122E">
          <w:rPr>
            <w:rStyle w:val="Hyperlink"/>
            <w:noProof/>
          </w:rPr>
          <w:t>1.</w:t>
        </w:r>
        <w:r w:rsidR="009963D5">
          <w:rPr>
            <w:rFonts w:asciiTheme="minorHAnsi" w:eastAsiaTheme="minorEastAsia" w:hAnsiTheme="minorHAnsi" w:cstheme="minorBidi"/>
            <w:noProof/>
            <w:kern w:val="2"/>
            <w:sz w:val="24"/>
            <w:szCs w:val="24"/>
            <w:lang w:eastAsia="en-GB"/>
            <w14:ligatures w14:val="standardContextual"/>
          </w:rPr>
          <w:tab/>
        </w:r>
        <w:r w:rsidR="009963D5" w:rsidRPr="002B122E">
          <w:rPr>
            <w:rStyle w:val="Hyperlink"/>
            <w:noProof/>
          </w:rPr>
          <w:t>Introduction</w:t>
        </w:r>
        <w:r w:rsidR="009963D5">
          <w:rPr>
            <w:noProof/>
            <w:webHidden/>
          </w:rPr>
          <w:tab/>
        </w:r>
        <w:r w:rsidR="009963D5">
          <w:rPr>
            <w:noProof/>
            <w:webHidden/>
          </w:rPr>
          <w:fldChar w:fldCharType="begin"/>
        </w:r>
        <w:r w:rsidR="009963D5">
          <w:rPr>
            <w:noProof/>
            <w:webHidden/>
          </w:rPr>
          <w:instrText xml:space="preserve"> PAGEREF _Toc225452243 \h </w:instrText>
        </w:r>
        <w:r w:rsidR="009963D5">
          <w:rPr>
            <w:noProof/>
            <w:webHidden/>
          </w:rPr>
        </w:r>
        <w:r w:rsidR="009963D5">
          <w:rPr>
            <w:noProof/>
            <w:webHidden/>
          </w:rPr>
          <w:fldChar w:fldCharType="separate"/>
        </w:r>
        <w:r w:rsidR="009963D5">
          <w:rPr>
            <w:noProof/>
            <w:webHidden/>
          </w:rPr>
          <w:t>1</w:t>
        </w:r>
        <w:r w:rsidR="009963D5">
          <w:rPr>
            <w:noProof/>
            <w:webHidden/>
          </w:rPr>
          <w:fldChar w:fldCharType="end"/>
        </w:r>
      </w:hyperlink>
    </w:p>
    <w:p w14:paraId="246A65C8" w14:textId="330E0F69" w:rsidR="009963D5" w:rsidRDefault="009963D5">
      <w:pPr>
        <w:pStyle w:val="TOC1"/>
        <w:rPr>
          <w:rFonts w:asciiTheme="minorHAnsi" w:eastAsiaTheme="minorEastAsia" w:hAnsiTheme="minorHAnsi" w:cstheme="minorBidi"/>
          <w:noProof/>
          <w:kern w:val="2"/>
          <w:sz w:val="24"/>
          <w:szCs w:val="24"/>
          <w:lang w:eastAsia="en-GB"/>
          <w14:ligatures w14:val="standardContextual"/>
        </w:rPr>
      </w:pPr>
      <w:hyperlink w:anchor="_Toc225452244" w:history="1">
        <w:r w:rsidRPr="002B122E">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2B122E">
          <w:rPr>
            <w:rStyle w:val="Hyperlink"/>
            <w:noProof/>
          </w:rPr>
          <w:t>Use of Template and this Guidance</w:t>
        </w:r>
        <w:r>
          <w:rPr>
            <w:noProof/>
            <w:webHidden/>
          </w:rPr>
          <w:tab/>
        </w:r>
        <w:r>
          <w:rPr>
            <w:noProof/>
            <w:webHidden/>
          </w:rPr>
          <w:fldChar w:fldCharType="begin"/>
        </w:r>
        <w:r>
          <w:rPr>
            <w:noProof/>
            <w:webHidden/>
          </w:rPr>
          <w:instrText xml:space="preserve"> PAGEREF _Toc225452244 \h </w:instrText>
        </w:r>
        <w:r>
          <w:rPr>
            <w:noProof/>
            <w:webHidden/>
          </w:rPr>
        </w:r>
        <w:r>
          <w:rPr>
            <w:noProof/>
            <w:webHidden/>
          </w:rPr>
          <w:fldChar w:fldCharType="separate"/>
        </w:r>
        <w:r>
          <w:rPr>
            <w:noProof/>
            <w:webHidden/>
          </w:rPr>
          <w:t>2</w:t>
        </w:r>
        <w:r>
          <w:rPr>
            <w:noProof/>
            <w:webHidden/>
          </w:rPr>
          <w:fldChar w:fldCharType="end"/>
        </w:r>
      </w:hyperlink>
    </w:p>
    <w:p w14:paraId="20CF7E7A" w14:textId="6018E901" w:rsidR="009963D5" w:rsidRPr="009963D5" w:rsidRDefault="009963D5">
      <w:pPr>
        <w:pStyle w:val="TOC1"/>
        <w:rPr>
          <w:rFonts w:asciiTheme="minorHAnsi" w:eastAsiaTheme="minorEastAsia" w:hAnsiTheme="minorHAnsi" w:cstheme="minorBidi"/>
          <w:noProof/>
          <w:kern w:val="2"/>
          <w:sz w:val="24"/>
          <w:szCs w:val="24"/>
          <w:lang w:eastAsia="en-GB"/>
          <w14:ligatures w14:val="standardContextual"/>
        </w:rPr>
      </w:pPr>
      <w:r w:rsidRPr="009963D5">
        <w:rPr>
          <w:rStyle w:val="Hyperlink"/>
          <w:noProof/>
          <w:u w:val="none"/>
        </w:rPr>
        <w:tab/>
      </w:r>
      <w:hyperlink w:anchor="_Toc225452245" w:history="1">
        <w:r w:rsidRPr="009963D5">
          <w:rPr>
            <w:rStyle w:val="Hyperlink"/>
            <w:noProof/>
            <w:u w:val="none"/>
          </w:rPr>
          <w:t>Glossary</w:t>
        </w:r>
        <w:r w:rsidRPr="009963D5">
          <w:rPr>
            <w:rStyle w:val="Hyperlink"/>
            <w:bCs/>
            <w:noProof/>
            <w:u w:val="none"/>
          </w:rPr>
          <w:t xml:space="preserve"> of Key Terms and Abbreviations</w:t>
        </w:r>
        <w:r w:rsidRPr="009963D5">
          <w:rPr>
            <w:noProof/>
            <w:webHidden/>
          </w:rPr>
          <w:tab/>
        </w:r>
        <w:r w:rsidRPr="009963D5">
          <w:rPr>
            <w:noProof/>
            <w:webHidden/>
          </w:rPr>
          <w:fldChar w:fldCharType="begin"/>
        </w:r>
        <w:r w:rsidRPr="009963D5">
          <w:rPr>
            <w:noProof/>
            <w:webHidden/>
          </w:rPr>
          <w:instrText xml:space="preserve"> PAGEREF _Toc225452245 \h </w:instrText>
        </w:r>
        <w:r w:rsidRPr="009963D5">
          <w:rPr>
            <w:noProof/>
            <w:webHidden/>
          </w:rPr>
        </w:r>
        <w:r w:rsidRPr="009963D5">
          <w:rPr>
            <w:noProof/>
            <w:webHidden/>
          </w:rPr>
          <w:fldChar w:fldCharType="separate"/>
        </w:r>
        <w:r w:rsidRPr="009963D5">
          <w:rPr>
            <w:noProof/>
            <w:webHidden/>
          </w:rPr>
          <w:t>2</w:t>
        </w:r>
        <w:r w:rsidRPr="009963D5">
          <w:rPr>
            <w:noProof/>
            <w:webHidden/>
          </w:rPr>
          <w:fldChar w:fldCharType="end"/>
        </w:r>
      </w:hyperlink>
    </w:p>
    <w:p w14:paraId="5333D979" w14:textId="078D1B2E" w:rsidR="009963D5" w:rsidRDefault="009963D5">
      <w:pPr>
        <w:pStyle w:val="TOC1"/>
        <w:rPr>
          <w:rFonts w:asciiTheme="minorHAnsi" w:eastAsiaTheme="minorEastAsia" w:hAnsiTheme="minorHAnsi" w:cstheme="minorBidi"/>
          <w:noProof/>
          <w:kern w:val="2"/>
          <w:sz w:val="24"/>
          <w:szCs w:val="24"/>
          <w:lang w:eastAsia="en-GB"/>
          <w14:ligatures w14:val="standardContextual"/>
        </w:rPr>
      </w:pPr>
      <w:hyperlink w:anchor="_Toc225452246" w:history="1">
        <w:r w:rsidRPr="002B122E">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2B122E">
          <w:rPr>
            <w:rStyle w:val="Hyperlink"/>
            <w:noProof/>
          </w:rPr>
          <w:t>Clause-by-clause commentary</w:t>
        </w:r>
        <w:r>
          <w:rPr>
            <w:noProof/>
            <w:webHidden/>
          </w:rPr>
          <w:tab/>
        </w:r>
        <w:r>
          <w:rPr>
            <w:noProof/>
            <w:webHidden/>
          </w:rPr>
          <w:fldChar w:fldCharType="begin"/>
        </w:r>
        <w:r>
          <w:rPr>
            <w:noProof/>
            <w:webHidden/>
          </w:rPr>
          <w:instrText xml:space="preserve"> PAGEREF _Toc225452246 \h </w:instrText>
        </w:r>
        <w:r>
          <w:rPr>
            <w:noProof/>
            <w:webHidden/>
          </w:rPr>
        </w:r>
        <w:r>
          <w:rPr>
            <w:noProof/>
            <w:webHidden/>
          </w:rPr>
          <w:fldChar w:fldCharType="separate"/>
        </w:r>
        <w:r>
          <w:rPr>
            <w:noProof/>
            <w:webHidden/>
          </w:rPr>
          <w:t>4</w:t>
        </w:r>
        <w:r>
          <w:rPr>
            <w:noProof/>
            <w:webHidden/>
          </w:rPr>
          <w:fldChar w:fldCharType="end"/>
        </w:r>
      </w:hyperlink>
    </w:p>
    <w:p w14:paraId="5193FA0B" w14:textId="072AD7EB" w:rsidR="00D335E0" w:rsidRPr="00262AD1" w:rsidRDefault="002A5913" w:rsidP="000719FC">
      <w:pPr>
        <w:jc w:val="both"/>
        <w:rPr>
          <w:sz w:val="22"/>
          <w:szCs w:val="22"/>
        </w:rPr>
      </w:pPr>
      <w:r w:rsidRPr="00262AD1">
        <w:rPr>
          <w:sz w:val="22"/>
          <w:szCs w:val="22"/>
        </w:rPr>
        <w:fldChar w:fldCharType="end"/>
      </w:r>
    </w:p>
    <w:p w14:paraId="26C6F421" w14:textId="77777777" w:rsidR="00D833B4" w:rsidRPr="00262AD1" w:rsidRDefault="00D833B4" w:rsidP="000719FC">
      <w:pPr>
        <w:jc w:val="both"/>
        <w:rPr>
          <w:sz w:val="22"/>
          <w:szCs w:val="22"/>
        </w:rPr>
      </w:pPr>
    </w:p>
    <w:p w14:paraId="38AEA291" w14:textId="465C203F" w:rsidR="003B6A8D" w:rsidRPr="00262AD1" w:rsidRDefault="003B6A8D" w:rsidP="000719FC">
      <w:pPr>
        <w:jc w:val="both"/>
        <w:rPr>
          <w:b/>
          <w:sz w:val="22"/>
          <w:szCs w:val="22"/>
        </w:rPr>
      </w:pPr>
      <w:r w:rsidRPr="00262AD1">
        <w:rPr>
          <w:b/>
          <w:szCs w:val="22"/>
        </w:rPr>
        <w:br w:type="page"/>
      </w:r>
    </w:p>
    <w:p w14:paraId="53F13C26" w14:textId="77777777" w:rsidR="002A5913" w:rsidRPr="00262AD1" w:rsidRDefault="002A5913" w:rsidP="000719FC">
      <w:pPr>
        <w:pStyle w:val="BodyText"/>
        <w:spacing w:after="0"/>
        <w:outlineLvl w:val="0"/>
        <w:rPr>
          <w:b/>
          <w:szCs w:val="22"/>
        </w:rPr>
        <w:sectPr w:rsidR="002A5913" w:rsidRPr="00262AD1" w:rsidSect="000B701C">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p>
    <w:p w14:paraId="2F004B82" w14:textId="1B4F39D0" w:rsidR="009F5866" w:rsidRPr="00262AD1" w:rsidRDefault="009F5866" w:rsidP="000719FC">
      <w:pPr>
        <w:pStyle w:val="BBHeading1Lower"/>
      </w:pPr>
      <w:bookmarkStart w:id="1" w:name="_Toc225452243"/>
      <w:r w:rsidRPr="00262AD1">
        <w:lastRenderedPageBreak/>
        <w:t>Introductio</w:t>
      </w:r>
      <w:r w:rsidR="00794A01" w:rsidRPr="00262AD1">
        <w:t>n</w:t>
      </w:r>
      <w:bookmarkEnd w:id="1"/>
    </w:p>
    <w:p w14:paraId="3744C8FE" w14:textId="32E3E727" w:rsidR="00870631" w:rsidRDefault="00787BA7" w:rsidP="00870631">
      <w:pPr>
        <w:pStyle w:val="BodyText"/>
      </w:pPr>
      <w:r w:rsidRPr="00262AD1">
        <w:t>This guidance accompanies the template</w:t>
      </w:r>
      <w:r w:rsidR="007F3777" w:rsidRPr="00262AD1">
        <w:t xml:space="preserve"> </w:t>
      </w:r>
      <w:r w:rsidRPr="00262AD1">
        <w:t>Service Contract</w:t>
      </w:r>
      <w:r w:rsidR="007F3777" w:rsidRPr="00262AD1">
        <w:rPr>
          <w:b/>
          <w:bCs/>
        </w:rPr>
        <w:t xml:space="preserve"> </w:t>
      </w:r>
      <w:r w:rsidR="007F3777" w:rsidRPr="002A75CB">
        <w:t>(the</w:t>
      </w:r>
      <w:r w:rsidR="007F3777" w:rsidRPr="00262AD1">
        <w:t xml:space="preserve"> </w:t>
      </w:r>
      <w:r w:rsidRPr="00262AD1">
        <w:rPr>
          <w:b/>
          <w:bCs/>
        </w:rPr>
        <w:t>Template</w:t>
      </w:r>
      <w:r w:rsidRPr="00262AD1">
        <w:t xml:space="preserve"> or </w:t>
      </w:r>
      <w:r w:rsidRPr="00262AD1">
        <w:rPr>
          <w:b/>
          <w:bCs/>
        </w:rPr>
        <w:t>Agreement</w:t>
      </w:r>
      <w:r w:rsidRPr="00262AD1">
        <w:t>) for use by a Community Energy Group (</w:t>
      </w:r>
      <w:r w:rsidRPr="00A1270D">
        <w:rPr>
          <w:b/>
          <w:bCs/>
        </w:rPr>
        <w:t>CEG</w:t>
      </w:r>
      <w:r w:rsidRPr="00262AD1">
        <w:t>) that wishes to appoint a professional consultant (such as an architect) in connection with the design and construction of a shared ownership project.</w:t>
      </w:r>
      <w:r w:rsidR="00870631">
        <w:t xml:space="preserve"> </w:t>
      </w:r>
      <w:r w:rsidR="00870631" w:rsidRPr="00326E87">
        <w:t xml:space="preserve">The Template </w:t>
      </w:r>
      <w:r w:rsidR="00870631">
        <w:t>is</w:t>
      </w:r>
      <w:r w:rsidR="00870631" w:rsidRPr="00326E87">
        <w:t xml:space="preserve"> drafted on the assumption that the </w:t>
      </w:r>
      <w:r w:rsidR="00870631">
        <w:t>Client</w:t>
      </w:r>
      <w:r w:rsidR="00870631" w:rsidRPr="00326E87">
        <w:t xml:space="preserve"> is a JVCO</w:t>
      </w:r>
      <w:r w:rsidR="00870631">
        <w:t xml:space="preserve"> (in which the CEG has shares) which owns and operates the Project.  The Template</w:t>
      </w:r>
      <w:r w:rsidR="00870631" w:rsidRPr="00326E87">
        <w:t xml:space="preserve"> can </w:t>
      </w:r>
      <w:r w:rsidR="00870631">
        <w:t xml:space="preserve">be </w:t>
      </w:r>
      <w:r w:rsidR="00870631" w:rsidRPr="00326E87">
        <w:t xml:space="preserve">adapted for use where the CEG itself is </w:t>
      </w:r>
      <w:r w:rsidR="00870631">
        <w:t>the Client</w:t>
      </w:r>
      <w:r w:rsidR="00870631" w:rsidRPr="00326E87">
        <w:t xml:space="preserve"> (e.g. as part of a split site </w:t>
      </w:r>
      <w:r w:rsidR="00870631">
        <w:t>arrangement</w:t>
      </w:r>
      <w:r w:rsidR="00870631" w:rsidRPr="00326E87">
        <w:t>).</w:t>
      </w:r>
    </w:p>
    <w:p w14:paraId="1792CC25" w14:textId="77777777" w:rsidR="007F3777" w:rsidRPr="00262AD1" w:rsidRDefault="007F3777" w:rsidP="000719FC">
      <w:pPr>
        <w:spacing w:before="240"/>
        <w:jc w:val="both"/>
        <w:rPr>
          <w:sz w:val="22"/>
          <w:szCs w:val="22"/>
        </w:rPr>
      </w:pPr>
      <w:r w:rsidRPr="00262AD1">
        <w:rPr>
          <w:sz w:val="22"/>
          <w:szCs w:val="22"/>
        </w:rPr>
        <w:t xml:space="preserve">The Agreement is a deed made between the </w:t>
      </w:r>
      <w:r w:rsidRPr="00262AD1">
        <w:rPr>
          <w:b/>
          <w:bCs/>
          <w:sz w:val="22"/>
          <w:szCs w:val="22"/>
        </w:rPr>
        <w:t>Client</w:t>
      </w:r>
      <w:r w:rsidRPr="00262AD1">
        <w:rPr>
          <w:sz w:val="22"/>
          <w:szCs w:val="22"/>
        </w:rPr>
        <w:t xml:space="preserve"> (being the employer entity, which may be the CEG or the JVCO depending on the shared ownership model adopted) and the </w:t>
      </w:r>
      <w:r w:rsidRPr="00262AD1">
        <w:rPr>
          <w:b/>
          <w:bCs/>
          <w:sz w:val="22"/>
          <w:szCs w:val="22"/>
        </w:rPr>
        <w:t>Consultant</w:t>
      </w:r>
      <w:r w:rsidRPr="00262AD1">
        <w:rPr>
          <w:sz w:val="22"/>
          <w:szCs w:val="22"/>
        </w:rPr>
        <w:t xml:space="preserve"> (the professional services provider being appointed).</w:t>
      </w:r>
    </w:p>
    <w:p w14:paraId="75AE66E7" w14:textId="066E83E3" w:rsidR="007F3777" w:rsidRPr="00262AD1" w:rsidRDefault="007F3777" w:rsidP="000719FC">
      <w:pPr>
        <w:spacing w:before="240"/>
        <w:jc w:val="both"/>
        <w:rPr>
          <w:sz w:val="22"/>
          <w:szCs w:val="22"/>
        </w:rPr>
      </w:pPr>
      <w:r w:rsidRPr="00262AD1">
        <w:rPr>
          <w:sz w:val="22"/>
          <w:szCs w:val="22"/>
        </w:rPr>
        <w:t xml:space="preserve">The Client intends to develop or otherwise carry out works at the Site by the design and execution of construction works </w:t>
      </w:r>
      <w:r w:rsidR="00AA3367">
        <w:rPr>
          <w:sz w:val="22"/>
          <w:szCs w:val="22"/>
        </w:rPr>
        <w:t>(</w:t>
      </w:r>
      <w:r w:rsidRPr="00262AD1">
        <w:rPr>
          <w:sz w:val="22"/>
          <w:szCs w:val="22"/>
        </w:rPr>
        <w:t>being the Project</w:t>
      </w:r>
      <w:r w:rsidR="00AA3367">
        <w:rPr>
          <w:sz w:val="22"/>
          <w:szCs w:val="22"/>
        </w:rPr>
        <w:t>)</w:t>
      </w:r>
      <w:r w:rsidRPr="00262AD1">
        <w:rPr>
          <w:sz w:val="22"/>
          <w:szCs w:val="22"/>
        </w:rPr>
        <w:t>, and the Client intends to appoint the Consultant to act as its architect (or other professional) to perform the Services on the terms and conditions set out in the Agreement.</w:t>
      </w:r>
    </w:p>
    <w:p w14:paraId="3EAEA65A" w14:textId="77777777" w:rsidR="007F3777" w:rsidRPr="00262AD1" w:rsidRDefault="007F3777" w:rsidP="000719FC">
      <w:pPr>
        <w:spacing w:before="240"/>
        <w:jc w:val="both"/>
        <w:rPr>
          <w:sz w:val="22"/>
          <w:szCs w:val="22"/>
        </w:rPr>
      </w:pPr>
      <w:r w:rsidRPr="00262AD1">
        <w:rPr>
          <w:sz w:val="22"/>
          <w:szCs w:val="22"/>
        </w:rPr>
        <w:t>The Template covers the full lifecycle of a professional appointment, from the Consultant's initial obligations and standard of care through to fee payment, intellectual property rights, insurance, suspension and termination, and post-completion liability. The Agreement also includes a suite of Schedules covering the Project Details, Fee arrangements, the scope of Services, the Client's Brief, the Project Cost Plan, the Project Programme, and deeds of warranty for third party beneficiaries (including funders, landlords, purchasers, and tenants).</w:t>
      </w:r>
    </w:p>
    <w:p w14:paraId="7A0B9CB0" w14:textId="3058F666" w:rsidR="00390A93" w:rsidRPr="00262AD1" w:rsidRDefault="00390A93" w:rsidP="000719FC">
      <w:pPr>
        <w:pStyle w:val="BodyText"/>
      </w:pPr>
    </w:p>
    <w:p w14:paraId="1AB2C9C6" w14:textId="63EAAAF7" w:rsidR="00390A93" w:rsidRPr="00262AD1" w:rsidRDefault="00390A93" w:rsidP="000719FC">
      <w:pPr>
        <w:pStyle w:val="BBBodyTextNoSpacing"/>
        <w:rPr>
          <w:b/>
          <w:bCs/>
          <w:i/>
          <w:iCs/>
        </w:rPr>
      </w:pPr>
      <w:r w:rsidRPr="00262AD1">
        <w:rPr>
          <w:b/>
          <w:bCs/>
          <w:i/>
          <w:iCs/>
        </w:rPr>
        <w:t>NOTE FOR USERS OF THIS GUIDANCE DOCUMENT</w:t>
      </w:r>
    </w:p>
    <w:p w14:paraId="19B76DD4" w14:textId="0D220BC3" w:rsidR="00DE059B" w:rsidRPr="00262AD1" w:rsidRDefault="00436B5A" w:rsidP="000719FC">
      <w:pPr>
        <w:jc w:val="both"/>
        <w:rPr>
          <w:i/>
          <w:iCs/>
          <w:sz w:val="22"/>
        </w:rPr>
      </w:pPr>
      <w:r w:rsidRPr="00262AD1">
        <w:rPr>
          <w:rFonts w:asciiTheme="majorHAnsi" w:hAnsiTheme="majorHAnsi"/>
          <w:i/>
          <w:iCs/>
          <w:sz w:val="22"/>
          <w:szCs w:val="22"/>
        </w:rPr>
        <w:t xml:space="preserve">This guidance document has been developed for use by Community Energy SO projects only. It is intended to provide a useful starting point for your Community Energy SO </w:t>
      </w:r>
      <w:r w:rsidR="007B7847">
        <w:rPr>
          <w:rFonts w:asciiTheme="majorHAnsi" w:hAnsiTheme="majorHAnsi"/>
          <w:i/>
          <w:iCs/>
          <w:sz w:val="22"/>
          <w:szCs w:val="22"/>
        </w:rPr>
        <w:t>p</w:t>
      </w:r>
      <w:r w:rsidRPr="00262AD1">
        <w:rPr>
          <w:rFonts w:asciiTheme="majorHAnsi" w:hAnsiTheme="majorHAnsi"/>
          <w:i/>
          <w:iCs/>
          <w:sz w:val="22"/>
          <w:szCs w:val="22"/>
        </w:rPr>
        <w:t xml:space="preserve">roject. It does not promote the use of any </w:t>
      </w:r>
      <w:proofErr w:type="gramStart"/>
      <w:r w:rsidRPr="00262AD1">
        <w:rPr>
          <w:rFonts w:asciiTheme="majorHAnsi" w:hAnsiTheme="majorHAnsi"/>
          <w:i/>
          <w:iCs/>
          <w:sz w:val="22"/>
          <w:szCs w:val="22"/>
        </w:rPr>
        <w:t>particular shared</w:t>
      </w:r>
      <w:proofErr w:type="gramEnd"/>
      <w:r w:rsidRPr="00262AD1">
        <w:rPr>
          <w:rFonts w:asciiTheme="majorHAnsi" w:hAnsiTheme="majorHAnsi"/>
          <w:i/>
          <w:iCs/>
          <w:sz w:val="22"/>
          <w:szCs w:val="22"/>
        </w:rPr>
        <w:t xml:space="preserve"> ownership model. You will need to review and develop it in conjunction with your legal, financial, technical and procurement advisors to reflect your requirements and the circumstances of your project. Although we have taken care in the production of this guidance document, it is guidance only and is not a substitute for independent legal advice on your specific project. No warranty, express or implied, is given as to its accuracy nor does Bird &amp; Bird LLP accept any liability for any error or omission. You must take your own independent legal advice in relation to the development of appropriate documents for your project</w:t>
      </w:r>
      <w:r w:rsidR="008633C8" w:rsidRPr="00262AD1">
        <w:rPr>
          <w:rFonts w:asciiTheme="majorHAnsi" w:hAnsiTheme="majorHAnsi"/>
          <w:i/>
          <w:iCs/>
          <w:sz w:val="22"/>
          <w:szCs w:val="22"/>
        </w:rPr>
        <w:t>.</w:t>
      </w:r>
      <w:r w:rsidR="00DE059B" w:rsidRPr="00262AD1">
        <w:rPr>
          <w:i/>
          <w:iCs/>
        </w:rPr>
        <w:br w:type="page"/>
      </w:r>
    </w:p>
    <w:p w14:paraId="783EE81E" w14:textId="73397209" w:rsidR="00390A93" w:rsidRPr="00262AD1" w:rsidRDefault="00390A93" w:rsidP="000719FC">
      <w:pPr>
        <w:pStyle w:val="BBHeading1Lower"/>
      </w:pPr>
      <w:bookmarkStart w:id="2" w:name="_Toc225452244"/>
      <w:r w:rsidRPr="00262AD1">
        <w:lastRenderedPageBreak/>
        <w:t>Use of Template and this Guidance</w:t>
      </w:r>
      <w:bookmarkEnd w:id="2"/>
    </w:p>
    <w:p w14:paraId="64B7A14A" w14:textId="1C98534E" w:rsidR="007F3777" w:rsidRPr="00262AD1" w:rsidRDefault="007F3777" w:rsidP="000719FC">
      <w:pPr>
        <w:spacing w:before="240"/>
        <w:jc w:val="both"/>
        <w:rPr>
          <w:sz w:val="22"/>
          <w:szCs w:val="22"/>
        </w:rPr>
      </w:pPr>
      <w:r w:rsidRPr="00262AD1">
        <w:rPr>
          <w:sz w:val="22"/>
          <w:szCs w:val="22"/>
        </w:rPr>
        <w:t xml:space="preserve">Capitalised terms not defined in this </w:t>
      </w:r>
      <w:r w:rsidR="00A1270D" w:rsidRPr="00262AD1">
        <w:rPr>
          <w:sz w:val="22"/>
          <w:szCs w:val="22"/>
        </w:rPr>
        <w:t xml:space="preserve">guidance </w:t>
      </w:r>
      <w:r w:rsidRPr="00262AD1">
        <w:rPr>
          <w:sz w:val="22"/>
          <w:szCs w:val="22"/>
        </w:rPr>
        <w:t>have the meaning given to them in clause 1 (Definitions and Interpretation) of the Template. See the Glossary at the end of this section for key terms and abbreviations.</w:t>
      </w:r>
    </w:p>
    <w:p w14:paraId="73B36ED8" w14:textId="77777777" w:rsidR="007F3777" w:rsidRPr="00262AD1" w:rsidRDefault="007F3777" w:rsidP="000719FC">
      <w:pPr>
        <w:spacing w:before="240"/>
        <w:jc w:val="both"/>
        <w:rPr>
          <w:sz w:val="22"/>
          <w:szCs w:val="22"/>
        </w:rPr>
      </w:pPr>
      <w:r w:rsidRPr="00262AD1">
        <w:rPr>
          <w:sz w:val="22"/>
          <w:szCs w:val="22"/>
        </w:rPr>
        <w:t xml:space="preserve">The Template has been prepared on the basis that certain details will need to be inserted on a project-specific basis. Points requiring attention are marked with square brackets </w:t>
      </w:r>
      <w:proofErr w:type="gramStart"/>
      <w:r w:rsidRPr="00262AD1">
        <w:rPr>
          <w:sz w:val="22"/>
          <w:szCs w:val="22"/>
        </w:rPr>
        <w:t>[ ]</w:t>
      </w:r>
      <w:proofErr w:type="gramEnd"/>
      <w:r w:rsidRPr="00262AD1">
        <w:rPr>
          <w:sz w:val="22"/>
          <w:szCs w:val="22"/>
        </w:rPr>
        <w:t>.</w:t>
      </w:r>
    </w:p>
    <w:p w14:paraId="45B041F0" w14:textId="77777777" w:rsidR="007F3777" w:rsidRPr="00262AD1" w:rsidRDefault="007F3777" w:rsidP="000719FC">
      <w:pPr>
        <w:spacing w:before="240"/>
        <w:jc w:val="both"/>
        <w:rPr>
          <w:sz w:val="22"/>
          <w:szCs w:val="22"/>
        </w:rPr>
      </w:pPr>
      <w:r w:rsidRPr="00262AD1">
        <w:rPr>
          <w:sz w:val="22"/>
          <w:szCs w:val="22"/>
        </w:rPr>
        <w:t>The key assumptions in this Template are that:</w:t>
      </w:r>
    </w:p>
    <w:p w14:paraId="15DE7C91" w14:textId="208C35E2" w:rsidR="007F3777" w:rsidRPr="00262AD1" w:rsidRDefault="007F3777" w:rsidP="000719FC">
      <w:pPr>
        <w:spacing w:before="240"/>
        <w:ind w:left="720"/>
        <w:jc w:val="both"/>
        <w:rPr>
          <w:sz w:val="22"/>
          <w:szCs w:val="22"/>
        </w:rPr>
      </w:pPr>
      <w:proofErr w:type="spellStart"/>
      <w:r w:rsidRPr="00262AD1">
        <w:rPr>
          <w:sz w:val="22"/>
          <w:szCs w:val="22"/>
        </w:rPr>
        <w:t>i</w:t>
      </w:r>
      <w:proofErr w:type="spellEnd"/>
      <w:r w:rsidRPr="00262AD1">
        <w:rPr>
          <w:sz w:val="22"/>
          <w:szCs w:val="22"/>
        </w:rPr>
        <w:t>. the Client entity is a JVCO (of which the CEG is a shareholder); and</w:t>
      </w:r>
    </w:p>
    <w:p w14:paraId="135D7B21" w14:textId="77777777" w:rsidR="007F3777" w:rsidRPr="00262AD1" w:rsidRDefault="007F3777" w:rsidP="000719FC">
      <w:pPr>
        <w:spacing w:before="240"/>
        <w:ind w:left="720"/>
        <w:jc w:val="both"/>
        <w:rPr>
          <w:sz w:val="22"/>
          <w:szCs w:val="22"/>
        </w:rPr>
      </w:pPr>
      <w:r w:rsidRPr="00262AD1">
        <w:rPr>
          <w:sz w:val="22"/>
          <w:szCs w:val="22"/>
        </w:rPr>
        <w:t>ii. the Consultant is being appointed as architect in relation to the design and construction of the Project.</w:t>
      </w:r>
    </w:p>
    <w:p w14:paraId="10F1BBC2" w14:textId="1B0CD957" w:rsidR="00870631" w:rsidRDefault="00870631" w:rsidP="00870631">
      <w:pPr>
        <w:pStyle w:val="BodyText"/>
        <w:spacing w:before="240"/>
      </w:pPr>
      <w:r>
        <w:t>If either of these assumptions does not apply to your project</w:t>
      </w:r>
      <w:r>
        <w:t xml:space="preserve"> (e.g. the Consultant is a structural engineer, not an architect)</w:t>
      </w:r>
      <w:r>
        <w:t xml:space="preserve">, please take legal advice to identify the necessary amendments to the Template: the risk allocation and key definitions may need to be </w:t>
      </w:r>
      <w:proofErr w:type="gramStart"/>
      <w:r>
        <w:t>revisited in particular</w:t>
      </w:r>
      <w:proofErr w:type="gramEnd"/>
      <w:r>
        <w:t>.</w:t>
      </w:r>
      <w:r>
        <w:t xml:space="preserve"> </w:t>
      </w:r>
    </w:p>
    <w:p w14:paraId="04495A2A" w14:textId="43E04699" w:rsidR="007F3777" w:rsidRPr="00262AD1" w:rsidRDefault="007F3777" w:rsidP="000719FC">
      <w:pPr>
        <w:spacing w:before="240"/>
        <w:jc w:val="both"/>
        <w:rPr>
          <w:sz w:val="22"/>
          <w:szCs w:val="22"/>
        </w:rPr>
      </w:pPr>
    </w:p>
    <w:p w14:paraId="0D14A114" w14:textId="77777777" w:rsidR="007F3777" w:rsidRPr="00262AD1" w:rsidRDefault="007F3777" w:rsidP="000719FC">
      <w:pPr>
        <w:spacing w:before="240"/>
        <w:jc w:val="both"/>
        <w:rPr>
          <w:sz w:val="22"/>
          <w:szCs w:val="22"/>
        </w:rPr>
      </w:pPr>
      <w:r w:rsidRPr="00262AD1">
        <w:rPr>
          <w:sz w:val="22"/>
          <w:szCs w:val="22"/>
        </w:rPr>
        <w:t>In the clause-by-clause commentary below, sections marked "OPTIONAL" relate to provisions that can be deleted entirely if not relevant to your project. Sections marked "COMMONLY NEGOTIATED" are areas where the counterparty is likely to seek amendments, and you should discuss these with your legal adviser before agreeing terms.</w:t>
      </w:r>
    </w:p>
    <w:p w14:paraId="6B7428FF" w14:textId="574F1AFD" w:rsidR="007F3777" w:rsidRPr="00262AD1" w:rsidRDefault="007F3777" w:rsidP="000719FC">
      <w:pPr>
        <w:spacing w:before="240"/>
        <w:jc w:val="both"/>
        <w:rPr>
          <w:sz w:val="22"/>
          <w:szCs w:val="22"/>
        </w:rPr>
      </w:pPr>
      <w:r w:rsidRPr="00262AD1">
        <w:rPr>
          <w:sz w:val="22"/>
          <w:szCs w:val="22"/>
        </w:rPr>
        <w:t>Key optional or variable elements include:</w:t>
      </w:r>
    </w:p>
    <w:p w14:paraId="6255A955" w14:textId="46CA39A4" w:rsidR="007F3777" w:rsidRPr="00262AD1" w:rsidRDefault="007F3777" w:rsidP="000719FC">
      <w:pPr>
        <w:numPr>
          <w:ilvl w:val="0"/>
          <w:numId w:val="32"/>
        </w:numPr>
        <w:spacing w:before="240"/>
        <w:jc w:val="both"/>
        <w:rPr>
          <w:sz w:val="22"/>
          <w:szCs w:val="22"/>
        </w:rPr>
      </w:pPr>
      <w:r w:rsidRPr="00262AD1">
        <w:rPr>
          <w:b/>
          <w:bCs/>
          <w:sz w:val="22"/>
          <w:szCs w:val="22"/>
        </w:rPr>
        <w:t xml:space="preserve">Building Regulations </w:t>
      </w:r>
      <w:proofErr w:type="spellStart"/>
      <w:r w:rsidRPr="00262AD1">
        <w:rPr>
          <w:b/>
          <w:bCs/>
          <w:sz w:val="22"/>
          <w:szCs w:val="22"/>
        </w:rPr>
        <w:t>Dutyholder</w:t>
      </w:r>
      <w:proofErr w:type="spellEnd"/>
      <w:r w:rsidRPr="00262AD1">
        <w:rPr>
          <w:b/>
          <w:bCs/>
          <w:sz w:val="22"/>
          <w:szCs w:val="22"/>
        </w:rPr>
        <w:t xml:space="preserve"> Roles:</w:t>
      </w:r>
      <w:r w:rsidRPr="00262AD1">
        <w:rPr>
          <w:sz w:val="22"/>
          <w:szCs w:val="22"/>
        </w:rPr>
        <w:t xml:space="preserve"> The Consultant may or may not act as Building Regulations Principal Designer. Whether this role is assumed by the Consultant is optional and should be confirmed at the outset.</w:t>
      </w:r>
    </w:p>
    <w:p w14:paraId="0B4E14E6" w14:textId="1CCE7DCD" w:rsidR="007F3777" w:rsidRPr="00262AD1" w:rsidRDefault="007F3777" w:rsidP="000719FC">
      <w:pPr>
        <w:numPr>
          <w:ilvl w:val="0"/>
          <w:numId w:val="32"/>
        </w:numPr>
        <w:spacing w:before="240"/>
        <w:jc w:val="both"/>
        <w:rPr>
          <w:sz w:val="22"/>
          <w:szCs w:val="22"/>
        </w:rPr>
      </w:pPr>
      <w:r w:rsidRPr="00262AD1">
        <w:rPr>
          <w:b/>
          <w:bCs/>
          <w:sz w:val="22"/>
          <w:szCs w:val="22"/>
        </w:rPr>
        <w:t>Fee Structure:</w:t>
      </w:r>
      <w:r w:rsidRPr="00262AD1">
        <w:rPr>
          <w:sz w:val="22"/>
          <w:szCs w:val="22"/>
        </w:rPr>
        <w:t xml:space="preserve"> The Fee is structured as a lump sum payable in instalments</w:t>
      </w:r>
      <w:r w:rsidR="00F11DF1">
        <w:rPr>
          <w:sz w:val="22"/>
          <w:szCs w:val="22"/>
        </w:rPr>
        <w:t xml:space="preserve">. The </w:t>
      </w:r>
      <w:r w:rsidRPr="00262AD1">
        <w:rPr>
          <w:sz w:val="22"/>
          <w:szCs w:val="22"/>
        </w:rPr>
        <w:t xml:space="preserve">breakdown and instalment dates </w:t>
      </w:r>
      <w:r w:rsidR="00F11DF1">
        <w:rPr>
          <w:sz w:val="22"/>
          <w:szCs w:val="22"/>
        </w:rPr>
        <w:t>should</w:t>
      </w:r>
      <w:r w:rsidRPr="00262AD1">
        <w:rPr>
          <w:sz w:val="22"/>
          <w:szCs w:val="22"/>
        </w:rPr>
        <w:t xml:space="preserve"> be completed in Schedule 2.</w:t>
      </w:r>
    </w:p>
    <w:p w14:paraId="052E36E0" w14:textId="77777777" w:rsidR="007F3777" w:rsidRPr="00262AD1" w:rsidRDefault="007F3777" w:rsidP="000719FC">
      <w:pPr>
        <w:spacing w:before="240"/>
        <w:ind w:left="720"/>
        <w:jc w:val="both"/>
        <w:rPr>
          <w:sz w:val="22"/>
          <w:szCs w:val="22"/>
        </w:rPr>
      </w:pPr>
    </w:p>
    <w:p w14:paraId="0FD7FC38" w14:textId="206D37EE" w:rsidR="00E96AF9" w:rsidRPr="00262AD1" w:rsidRDefault="00E96AF9" w:rsidP="009963D5">
      <w:pPr>
        <w:pStyle w:val="BBHeading1Lower"/>
        <w:numPr>
          <w:ilvl w:val="0"/>
          <w:numId w:val="0"/>
        </w:numPr>
        <w:ind w:left="720" w:hanging="720"/>
        <w:rPr>
          <w:b w:val="0"/>
          <w:bCs/>
          <w:color w:val="000000" w:themeColor="text1"/>
          <w:szCs w:val="22"/>
        </w:rPr>
      </w:pPr>
      <w:bookmarkStart w:id="3" w:name="_Toc225452245"/>
      <w:r w:rsidRPr="009963D5">
        <w:t>Glossary</w:t>
      </w:r>
      <w:r w:rsidRPr="00262AD1">
        <w:rPr>
          <w:bCs/>
          <w:color w:val="000000" w:themeColor="text1"/>
          <w:szCs w:val="22"/>
        </w:rPr>
        <w:t xml:space="preserve"> of Key Terms and Abbreviations</w:t>
      </w:r>
      <w:bookmarkEnd w:id="3"/>
    </w:p>
    <w:p w14:paraId="7CBA65F7" w14:textId="77777777" w:rsidR="00E96AF9" w:rsidRPr="00262AD1" w:rsidRDefault="00E96AF9" w:rsidP="000719FC">
      <w:pPr>
        <w:jc w:val="both"/>
        <w:rPr>
          <w:color w:val="000000" w:themeColor="text1"/>
        </w:rPr>
      </w:pPr>
    </w:p>
    <w:tbl>
      <w:tblPr>
        <w:tblW w:w="9162"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4014"/>
        <w:gridCol w:w="5148"/>
      </w:tblGrid>
      <w:tr w:rsidR="00B40686" w:rsidRPr="00262AD1" w14:paraId="7B5C0273" w14:textId="77777777" w:rsidTr="00A1270D">
        <w:trPr>
          <w:trHeight w:val="600"/>
          <w:tblHeader/>
          <w:tblCellSpacing w:w="15" w:type="dxa"/>
        </w:trPr>
        <w:tc>
          <w:tcPr>
            <w:tcW w:w="3969" w:type="dxa"/>
            <w:vAlign w:val="center"/>
            <w:hideMark/>
          </w:tcPr>
          <w:p w14:paraId="7E818999" w14:textId="77777777" w:rsidR="00E96AF9" w:rsidRPr="00C23FF6" w:rsidRDefault="00E96AF9" w:rsidP="00C23FF6">
            <w:pPr>
              <w:pStyle w:val="BBBodyTextIndent1"/>
              <w:ind w:left="0"/>
              <w:rPr>
                <w:b/>
                <w:bCs/>
                <w:color w:val="000000" w:themeColor="text1"/>
                <w:szCs w:val="22"/>
              </w:rPr>
            </w:pPr>
            <w:r w:rsidRPr="00C23FF6">
              <w:rPr>
                <w:b/>
                <w:bCs/>
                <w:color w:val="000000" w:themeColor="text1"/>
                <w:szCs w:val="22"/>
              </w:rPr>
              <w:t>Term</w:t>
            </w:r>
          </w:p>
        </w:tc>
        <w:tc>
          <w:tcPr>
            <w:tcW w:w="5103" w:type="dxa"/>
            <w:vAlign w:val="center"/>
            <w:hideMark/>
          </w:tcPr>
          <w:p w14:paraId="4A88C0DF" w14:textId="77777777" w:rsidR="00E96AF9" w:rsidRPr="00262AD1" w:rsidRDefault="00E96AF9" w:rsidP="00C23FF6">
            <w:pPr>
              <w:pStyle w:val="BBBodyTextIndent1"/>
              <w:ind w:left="0"/>
              <w:rPr>
                <w:b/>
                <w:bCs/>
                <w:color w:val="000000" w:themeColor="text1"/>
              </w:rPr>
            </w:pPr>
            <w:r w:rsidRPr="00262AD1">
              <w:rPr>
                <w:b/>
                <w:bCs/>
                <w:color w:val="000000" w:themeColor="text1"/>
              </w:rPr>
              <w:t>Definition</w:t>
            </w:r>
          </w:p>
        </w:tc>
      </w:tr>
      <w:tr w:rsidR="00B40686" w:rsidRPr="00262AD1" w14:paraId="75CE6CB8" w14:textId="77777777" w:rsidTr="00A1270D">
        <w:trPr>
          <w:tblCellSpacing w:w="15" w:type="dxa"/>
        </w:trPr>
        <w:tc>
          <w:tcPr>
            <w:tcW w:w="3969" w:type="dxa"/>
            <w:vAlign w:val="center"/>
          </w:tcPr>
          <w:p w14:paraId="63D5AF28" w14:textId="749F63B8" w:rsidR="00B40686" w:rsidRPr="00C23FF6" w:rsidRDefault="00A1270D" w:rsidP="00C23FF6">
            <w:pPr>
              <w:pStyle w:val="BBBodyTextIndent1"/>
              <w:ind w:left="0"/>
              <w:rPr>
                <w:b/>
                <w:bCs/>
                <w:color w:val="000000" w:themeColor="text1"/>
                <w:szCs w:val="22"/>
              </w:rPr>
            </w:pPr>
            <w:r w:rsidRPr="00A1270D">
              <w:rPr>
                <w:b/>
                <w:bCs/>
                <w:color w:val="000000" w:themeColor="text1"/>
                <w:szCs w:val="22"/>
              </w:rPr>
              <w:t>Community Energy Group</w:t>
            </w:r>
            <w:r w:rsidRPr="00262AD1">
              <w:rPr>
                <w:color w:val="000000" w:themeColor="text1"/>
                <w:szCs w:val="22"/>
              </w:rPr>
              <w:t xml:space="preserve"> </w:t>
            </w:r>
            <w:r>
              <w:rPr>
                <w:b/>
                <w:bCs/>
                <w:color w:val="000000" w:themeColor="text1"/>
                <w:szCs w:val="22"/>
              </w:rPr>
              <w:t>(</w:t>
            </w:r>
            <w:r w:rsidR="00B40686" w:rsidRPr="00262AD1">
              <w:rPr>
                <w:b/>
                <w:bCs/>
                <w:color w:val="000000" w:themeColor="text1"/>
                <w:szCs w:val="22"/>
              </w:rPr>
              <w:t>CEG</w:t>
            </w:r>
            <w:r>
              <w:rPr>
                <w:b/>
                <w:bCs/>
                <w:color w:val="000000" w:themeColor="text1"/>
                <w:szCs w:val="22"/>
              </w:rPr>
              <w:t>)</w:t>
            </w:r>
          </w:p>
        </w:tc>
        <w:tc>
          <w:tcPr>
            <w:tcW w:w="5103" w:type="dxa"/>
            <w:vAlign w:val="center"/>
          </w:tcPr>
          <w:p w14:paraId="17AD7E2E" w14:textId="277B8BE4" w:rsidR="00B40686" w:rsidRPr="00C23FF6" w:rsidRDefault="00A1270D" w:rsidP="00C23FF6">
            <w:pPr>
              <w:pStyle w:val="BBBodyTextIndent1"/>
              <w:ind w:left="0"/>
              <w:rPr>
                <w:color w:val="000000" w:themeColor="text1"/>
                <w:szCs w:val="22"/>
              </w:rPr>
            </w:pPr>
            <w:r>
              <w:rPr>
                <w:color w:val="000000" w:themeColor="text1"/>
                <w:szCs w:val="22"/>
              </w:rPr>
              <w:t>T</w:t>
            </w:r>
            <w:r w:rsidR="00B40686" w:rsidRPr="00262AD1">
              <w:rPr>
                <w:color w:val="000000" w:themeColor="text1"/>
                <w:szCs w:val="22"/>
              </w:rPr>
              <w:t>he community energy group party to the Project as Client (either directly or via a JVCO).</w:t>
            </w:r>
          </w:p>
        </w:tc>
      </w:tr>
      <w:tr w:rsidR="00B40686" w:rsidRPr="00262AD1" w14:paraId="3E2F59E0" w14:textId="77777777" w:rsidTr="00A1270D">
        <w:trPr>
          <w:tblCellSpacing w:w="15" w:type="dxa"/>
        </w:trPr>
        <w:tc>
          <w:tcPr>
            <w:tcW w:w="3969" w:type="dxa"/>
            <w:vAlign w:val="center"/>
          </w:tcPr>
          <w:p w14:paraId="0B2DD006" w14:textId="06FC849C" w:rsidR="00B40686" w:rsidRPr="00C23FF6" w:rsidRDefault="00B40686" w:rsidP="00C23FF6">
            <w:pPr>
              <w:pStyle w:val="BBBodyTextIndent1"/>
              <w:ind w:left="0"/>
              <w:rPr>
                <w:b/>
                <w:bCs/>
                <w:color w:val="000000" w:themeColor="text1"/>
                <w:szCs w:val="22"/>
              </w:rPr>
            </w:pPr>
            <w:r w:rsidRPr="00262AD1">
              <w:rPr>
                <w:b/>
                <w:bCs/>
                <w:color w:val="000000" w:themeColor="text1"/>
                <w:szCs w:val="22"/>
              </w:rPr>
              <w:t>Client</w:t>
            </w:r>
          </w:p>
        </w:tc>
        <w:tc>
          <w:tcPr>
            <w:tcW w:w="5103" w:type="dxa"/>
            <w:vAlign w:val="center"/>
          </w:tcPr>
          <w:p w14:paraId="77922F59" w14:textId="32F2A0D8" w:rsidR="00B40686" w:rsidRPr="00C23FF6" w:rsidRDefault="00B40686" w:rsidP="00C23FF6">
            <w:pPr>
              <w:pStyle w:val="BBBodyTextIndent1"/>
              <w:ind w:left="0"/>
              <w:rPr>
                <w:color w:val="000000" w:themeColor="text1"/>
                <w:szCs w:val="22"/>
              </w:rPr>
            </w:pPr>
            <w:r w:rsidRPr="00262AD1">
              <w:rPr>
                <w:color w:val="000000" w:themeColor="text1"/>
                <w:szCs w:val="22"/>
              </w:rPr>
              <w:t>The employer entity.</w:t>
            </w:r>
          </w:p>
        </w:tc>
      </w:tr>
      <w:tr w:rsidR="00B40686" w:rsidRPr="00262AD1" w14:paraId="593C4C28" w14:textId="77777777" w:rsidTr="00A1270D">
        <w:trPr>
          <w:tblCellSpacing w:w="15" w:type="dxa"/>
        </w:trPr>
        <w:tc>
          <w:tcPr>
            <w:tcW w:w="3969" w:type="dxa"/>
            <w:vAlign w:val="center"/>
          </w:tcPr>
          <w:p w14:paraId="636862D4" w14:textId="310349FB" w:rsidR="00B40686" w:rsidRPr="00C23FF6" w:rsidRDefault="00B40686" w:rsidP="00C23FF6">
            <w:pPr>
              <w:pStyle w:val="BBBodyTextIndent1"/>
              <w:ind w:left="0"/>
              <w:rPr>
                <w:b/>
                <w:bCs/>
                <w:color w:val="000000" w:themeColor="text1"/>
                <w:szCs w:val="22"/>
              </w:rPr>
            </w:pPr>
            <w:r w:rsidRPr="00262AD1">
              <w:rPr>
                <w:b/>
                <w:bCs/>
                <w:color w:val="000000" w:themeColor="text1"/>
                <w:szCs w:val="22"/>
              </w:rPr>
              <w:t>Consultant</w:t>
            </w:r>
          </w:p>
        </w:tc>
        <w:tc>
          <w:tcPr>
            <w:tcW w:w="5103" w:type="dxa"/>
            <w:vAlign w:val="center"/>
          </w:tcPr>
          <w:p w14:paraId="36A45421" w14:textId="59DF5FD7" w:rsidR="00B40686" w:rsidRPr="00C23FF6" w:rsidRDefault="00B40686" w:rsidP="00C23FF6">
            <w:pPr>
              <w:pStyle w:val="BBBodyTextIndent1"/>
              <w:ind w:left="0"/>
              <w:rPr>
                <w:color w:val="000000" w:themeColor="text1"/>
                <w:szCs w:val="22"/>
              </w:rPr>
            </w:pPr>
            <w:r w:rsidRPr="00262AD1">
              <w:rPr>
                <w:color w:val="000000" w:themeColor="text1"/>
                <w:szCs w:val="22"/>
              </w:rPr>
              <w:t>The professional services provider appointed by the Client under the Agreement.</w:t>
            </w:r>
          </w:p>
        </w:tc>
      </w:tr>
      <w:tr w:rsidR="00B40686" w:rsidRPr="00262AD1" w14:paraId="34010BE6" w14:textId="77777777" w:rsidTr="00A1270D">
        <w:trPr>
          <w:tblCellSpacing w:w="15" w:type="dxa"/>
        </w:trPr>
        <w:tc>
          <w:tcPr>
            <w:tcW w:w="3969" w:type="dxa"/>
            <w:vAlign w:val="center"/>
          </w:tcPr>
          <w:p w14:paraId="48850C90" w14:textId="52D3CAEC" w:rsidR="00B40686" w:rsidRPr="00C23FF6" w:rsidRDefault="00B40686" w:rsidP="00C23FF6">
            <w:pPr>
              <w:pStyle w:val="BBBodyTextIndent1"/>
              <w:ind w:left="0"/>
              <w:rPr>
                <w:b/>
                <w:bCs/>
                <w:color w:val="000000" w:themeColor="text1"/>
                <w:szCs w:val="22"/>
              </w:rPr>
            </w:pPr>
            <w:r w:rsidRPr="00262AD1">
              <w:rPr>
                <w:b/>
                <w:bCs/>
                <w:color w:val="000000" w:themeColor="text1"/>
                <w:szCs w:val="22"/>
              </w:rPr>
              <w:t>Funder</w:t>
            </w:r>
          </w:p>
        </w:tc>
        <w:tc>
          <w:tcPr>
            <w:tcW w:w="5103" w:type="dxa"/>
            <w:vAlign w:val="center"/>
          </w:tcPr>
          <w:p w14:paraId="333FDCA9" w14:textId="2D6ACEEE" w:rsidR="00B40686" w:rsidRPr="00C23FF6" w:rsidRDefault="00B40686" w:rsidP="00C23FF6">
            <w:pPr>
              <w:pStyle w:val="BBBodyTextIndent1"/>
              <w:ind w:left="0"/>
              <w:rPr>
                <w:color w:val="000000" w:themeColor="text1"/>
                <w:szCs w:val="22"/>
              </w:rPr>
            </w:pPr>
            <w:r w:rsidRPr="00262AD1">
              <w:rPr>
                <w:color w:val="000000" w:themeColor="text1"/>
                <w:szCs w:val="22"/>
              </w:rPr>
              <w:t>Any person providing or which has agreed to provide interim or long-term finance or refinance in connection with the Project.</w:t>
            </w:r>
          </w:p>
        </w:tc>
      </w:tr>
      <w:tr w:rsidR="00B40686" w:rsidRPr="00262AD1" w14:paraId="074DD5AF" w14:textId="77777777" w:rsidTr="00A1270D">
        <w:trPr>
          <w:tblCellSpacing w:w="15" w:type="dxa"/>
        </w:trPr>
        <w:tc>
          <w:tcPr>
            <w:tcW w:w="3969" w:type="dxa"/>
            <w:vAlign w:val="center"/>
          </w:tcPr>
          <w:p w14:paraId="27323B7E" w14:textId="1276D177" w:rsidR="00B40686" w:rsidRPr="00C23FF6" w:rsidRDefault="00B40686" w:rsidP="00C23FF6">
            <w:pPr>
              <w:pStyle w:val="BBBodyTextIndent1"/>
              <w:ind w:left="0"/>
              <w:rPr>
                <w:b/>
                <w:bCs/>
                <w:color w:val="000000" w:themeColor="text1"/>
                <w:szCs w:val="22"/>
              </w:rPr>
            </w:pPr>
            <w:r w:rsidRPr="00262AD1">
              <w:rPr>
                <w:b/>
                <w:bCs/>
                <w:color w:val="000000" w:themeColor="text1"/>
                <w:szCs w:val="22"/>
              </w:rPr>
              <w:lastRenderedPageBreak/>
              <w:t>JVCO</w:t>
            </w:r>
          </w:p>
        </w:tc>
        <w:tc>
          <w:tcPr>
            <w:tcW w:w="5103" w:type="dxa"/>
            <w:vAlign w:val="center"/>
          </w:tcPr>
          <w:p w14:paraId="4D210872" w14:textId="2584C13A" w:rsidR="00B40686" w:rsidRPr="00C23FF6" w:rsidRDefault="00B40686" w:rsidP="00C23FF6">
            <w:pPr>
              <w:pStyle w:val="BBBodyTextIndent1"/>
              <w:ind w:left="0"/>
              <w:rPr>
                <w:color w:val="000000" w:themeColor="text1"/>
                <w:szCs w:val="22"/>
              </w:rPr>
            </w:pPr>
            <w:r w:rsidRPr="00262AD1">
              <w:rPr>
                <w:color w:val="000000" w:themeColor="text1"/>
                <w:szCs w:val="22"/>
              </w:rPr>
              <w:t>A joint venture company through which a CEG and a developer own and operate the Project. Where this structure is used, the JVCO (rather than the CEG directly) will typically be the Client under the Service Contract.</w:t>
            </w:r>
          </w:p>
        </w:tc>
      </w:tr>
    </w:tbl>
    <w:p w14:paraId="68B119FF" w14:textId="6D5D160E" w:rsidR="00E96AF9" w:rsidRPr="00262AD1" w:rsidRDefault="00E96AF9" w:rsidP="000719FC">
      <w:pPr>
        <w:jc w:val="both"/>
        <w:rPr>
          <w:color w:val="000000" w:themeColor="text1"/>
          <w:sz w:val="22"/>
        </w:rPr>
      </w:pPr>
    </w:p>
    <w:p w14:paraId="23228535" w14:textId="77777777" w:rsidR="00CE24D7" w:rsidRDefault="00CE24D7">
      <w:pPr>
        <w:rPr>
          <w:b/>
          <w:color w:val="000000" w:themeColor="text1"/>
          <w:sz w:val="22"/>
        </w:rPr>
      </w:pPr>
      <w:r>
        <w:rPr>
          <w:color w:val="000000" w:themeColor="text1"/>
        </w:rPr>
        <w:br w:type="page"/>
      </w:r>
    </w:p>
    <w:p w14:paraId="365A64D1" w14:textId="33DF934B" w:rsidR="00390A93" w:rsidRPr="00262AD1" w:rsidRDefault="00390A93" w:rsidP="000719FC">
      <w:pPr>
        <w:pStyle w:val="BBHeading1Lower"/>
        <w:rPr>
          <w:color w:val="000000" w:themeColor="text1"/>
        </w:rPr>
      </w:pPr>
      <w:bookmarkStart w:id="4" w:name="_Toc225452246"/>
      <w:r w:rsidRPr="00262AD1">
        <w:rPr>
          <w:color w:val="000000" w:themeColor="text1"/>
        </w:rPr>
        <w:lastRenderedPageBreak/>
        <w:t>Clause-by-clause commentary</w:t>
      </w:r>
      <w:bookmarkEnd w:id="4"/>
    </w:p>
    <w:p w14:paraId="44DA7EDE" w14:textId="3F20BF58" w:rsidR="00390A93" w:rsidRPr="00262AD1" w:rsidRDefault="00390A93" w:rsidP="000719FC">
      <w:pPr>
        <w:pStyle w:val="BBHeading2"/>
        <w:rPr>
          <w:color w:val="000000" w:themeColor="text1"/>
        </w:rPr>
      </w:pPr>
      <w:r w:rsidRPr="00262AD1">
        <w:rPr>
          <w:color w:val="000000" w:themeColor="text1"/>
        </w:rPr>
        <w:t>Parties and Recitals</w:t>
      </w:r>
      <w:r w:rsidR="00EE0FD0" w:rsidRPr="00262AD1">
        <w:rPr>
          <w:color w:val="000000" w:themeColor="text1"/>
        </w:rPr>
        <w:t xml:space="preserve"> </w:t>
      </w:r>
    </w:p>
    <w:p w14:paraId="0D41D56E" w14:textId="69A540E7" w:rsidR="00390A93" w:rsidRPr="00262AD1" w:rsidRDefault="00390A93" w:rsidP="000719FC">
      <w:pPr>
        <w:pStyle w:val="BBBodyTextIndent1"/>
        <w:rPr>
          <w:color w:val="000000" w:themeColor="text1"/>
        </w:rPr>
      </w:pPr>
      <w:r w:rsidRPr="00262AD1">
        <w:rPr>
          <w:b/>
          <w:bCs/>
          <w:color w:val="000000" w:themeColor="text1"/>
        </w:rPr>
        <w:t>Purpose</w:t>
      </w:r>
      <w:r w:rsidRPr="00262AD1">
        <w:rPr>
          <w:color w:val="000000" w:themeColor="text1"/>
        </w:rPr>
        <w:t xml:space="preserve">: </w:t>
      </w:r>
      <w:r w:rsidR="00BC0CE5" w:rsidRPr="00262AD1">
        <w:rPr>
          <w:color w:val="000000" w:themeColor="text1"/>
        </w:rPr>
        <w:t>The Recitals are an introductory section that provide context, recording the Client's intention to develop or otherwise carry out works at the Site by the design and execution of construction works, and the Client's intention to appoint the Consultant to perform the Services.</w:t>
      </w:r>
    </w:p>
    <w:p w14:paraId="393B17FF" w14:textId="77777777" w:rsidR="00390A93" w:rsidRPr="00262AD1" w:rsidRDefault="00390A93" w:rsidP="000719FC">
      <w:pPr>
        <w:pStyle w:val="BBBodyTextIndent1"/>
        <w:keepNext/>
        <w:rPr>
          <w:b/>
          <w:bCs/>
          <w:color w:val="000000" w:themeColor="text1"/>
        </w:rPr>
      </w:pPr>
      <w:r w:rsidRPr="00262AD1">
        <w:rPr>
          <w:b/>
          <w:bCs/>
          <w:color w:val="000000" w:themeColor="text1"/>
        </w:rPr>
        <w:t>Action Required:</w:t>
      </w:r>
    </w:p>
    <w:p w14:paraId="4812A0FC" w14:textId="77777777" w:rsidR="00272153" w:rsidRPr="00262AD1" w:rsidRDefault="00272153" w:rsidP="000719FC">
      <w:pPr>
        <w:pStyle w:val="BulletNew"/>
      </w:pPr>
      <w:r w:rsidRPr="00262AD1">
        <w:t>Insert the Parties’ details (including, where applicable, full legal name, legal form, registration number, and registered office address for each party).</w:t>
      </w:r>
    </w:p>
    <w:p w14:paraId="0DB6C6D5" w14:textId="77777777" w:rsidR="00272153" w:rsidRPr="00262AD1" w:rsidRDefault="00272153" w:rsidP="000719FC">
      <w:pPr>
        <w:pStyle w:val="BulletNew"/>
      </w:pPr>
      <w:r w:rsidRPr="00262AD1">
        <w:t xml:space="preserve">Confirm whether the employer entity is the CEG or the JVCO depending on the shared ownership model adopted for the Project. </w:t>
      </w:r>
    </w:p>
    <w:p w14:paraId="2B146149" w14:textId="37F68058" w:rsidR="00390A93" w:rsidRPr="00262AD1" w:rsidRDefault="00272153" w:rsidP="000719FC">
      <w:pPr>
        <w:pStyle w:val="BulletNew"/>
      </w:pPr>
      <w:r w:rsidRPr="00262AD1">
        <w:t xml:space="preserve">Confirm the type of </w:t>
      </w:r>
      <w:proofErr w:type="gramStart"/>
      <w:r w:rsidRPr="00262AD1">
        <w:t>Consultant</w:t>
      </w:r>
      <w:proofErr w:type="gramEnd"/>
      <w:r w:rsidRPr="00262AD1">
        <w:t xml:space="preserve"> being appointed (e.g. architect, structural engineer) and update all references in the Agreement accordingly.</w:t>
      </w:r>
      <w:r w:rsidR="00390A93" w:rsidRPr="00262AD1">
        <w:t xml:space="preserve"> </w:t>
      </w:r>
    </w:p>
    <w:p w14:paraId="4EC981AC" w14:textId="096D7BDF" w:rsidR="00390A93" w:rsidRPr="00262AD1" w:rsidRDefault="00390A93" w:rsidP="000719FC">
      <w:pPr>
        <w:pStyle w:val="BBHeading2"/>
        <w:rPr>
          <w:color w:val="000000" w:themeColor="text1"/>
        </w:rPr>
      </w:pPr>
      <w:bookmarkStart w:id="5" w:name="_Ref224198130"/>
      <w:r w:rsidRPr="00262AD1">
        <w:rPr>
          <w:color w:val="000000" w:themeColor="text1"/>
        </w:rPr>
        <w:t>Clause 1: Definitions and Interpretation</w:t>
      </w:r>
      <w:bookmarkEnd w:id="5"/>
    </w:p>
    <w:p w14:paraId="23809228" w14:textId="28CDB6CE" w:rsidR="00390A93" w:rsidRPr="00262AD1" w:rsidRDefault="00390A93" w:rsidP="000719FC">
      <w:pPr>
        <w:pStyle w:val="BBBodyTextIndent1"/>
        <w:rPr>
          <w:color w:val="000000" w:themeColor="text1"/>
        </w:rPr>
      </w:pPr>
      <w:r w:rsidRPr="00262AD1">
        <w:rPr>
          <w:b/>
          <w:bCs/>
          <w:color w:val="000000" w:themeColor="text1"/>
        </w:rPr>
        <w:t>Purpose</w:t>
      </w:r>
      <w:r w:rsidRPr="00262AD1">
        <w:rPr>
          <w:color w:val="000000" w:themeColor="text1"/>
        </w:rPr>
        <w:t xml:space="preserve">: </w:t>
      </w:r>
      <w:r w:rsidR="007F3777" w:rsidRPr="00262AD1">
        <w:rPr>
          <w:szCs w:val="22"/>
        </w:rPr>
        <w:t>This clause establishes clear, consistent meanings for key terms used throughout the Agreement and sets out rules of interpretation. All defined terms are capitalised (e.g. "Practical Completion").</w:t>
      </w:r>
    </w:p>
    <w:p w14:paraId="1673C6E0" w14:textId="77777777" w:rsidR="00390A93" w:rsidRPr="00262AD1" w:rsidRDefault="00390A93" w:rsidP="000719FC">
      <w:pPr>
        <w:pStyle w:val="BBBodyTextIndent1"/>
        <w:rPr>
          <w:b/>
          <w:bCs/>
          <w:color w:val="000000" w:themeColor="text1"/>
        </w:rPr>
      </w:pPr>
      <w:r w:rsidRPr="00262AD1">
        <w:rPr>
          <w:b/>
          <w:bCs/>
          <w:color w:val="000000" w:themeColor="text1"/>
        </w:rPr>
        <w:t>Action Required:</w:t>
      </w:r>
    </w:p>
    <w:p w14:paraId="5B742946" w14:textId="77777777" w:rsidR="00B160D8" w:rsidRPr="00262AD1" w:rsidRDefault="00B160D8" w:rsidP="000719FC">
      <w:pPr>
        <w:pStyle w:val="BulletNew"/>
      </w:pPr>
      <w:r w:rsidRPr="00262AD1">
        <w:t xml:space="preserve">Review all definitions and insert relevant information where there are </w:t>
      </w:r>
      <w:proofErr w:type="gramStart"/>
      <w:r w:rsidRPr="00262AD1">
        <w:t>[ ]</w:t>
      </w:r>
      <w:proofErr w:type="gramEnd"/>
      <w:r w:rsidRPr="00262AD1">
        <w:t xml:space="preserve">. </w:t>
      </w:r>
    </w:p>
    <w:p w14:paraId="72A137A5" w14:textId="12604AE2" w:rsidR="00390A93" w:rsidRPr="00262AD1" w:rsidRDefault="00B160D8" w:rsidP="000719FC">
      <w:pPr>
        <w:pStyle w:val="BulletNew"/>
      </w:pPr>
      <w:r w:rsidRPr="00262AD1">
        <w:t>Review all definitions to ensure they are appropriate for the Agreement.</w:t>
      </w:r>
    </w:p>
    <w:p w14:paraId="4E673412" w14:textId="3492593C" w:rsidR="00390A93" w:rsidRPr="00262AD1" w:rsidRDefault="00390A93" w:rsidP="000719FC">
      <w:pPr>
        <w:pStyle w:val="BBBodyTextIndent1"/>
        <w:rPr>
          <w:b/>
          <w:bCs/>
          <w:color w:val="000000" w:themeColor="text1"/>
        </w:rPr>
      </w:pPr>
      <w:r w:rsidRPr="00262AD1">
        <w:rPr>
          <w:b/>
          <w:bCs/>
          <w:color w:val="000000" w:themeColor="text1"/>
        </w:rPr>
        <w:t>Guidance for CEG:</w:t>
      </w:r>
      <w:r w:rsidR="00E537C5" w:rsidRPr="00262AD1">
        <w:rPr>
          <w:b/>
          <w:bCs/>
          <w:color w:val="000000" w:themeColor="text1"/>
        </w:rPr>
        <w:t xml:space="preserve"> </w:t>
      </w:r>
      <w:r w:rsidR="0079658E" w:rsidRPr="00262AD1">
        <w:rPr>
          <w:color w:val="000000" w:themeColor="text1"/>
        </w:rPr>
        <w:t>The definitions clause contains some key commercial information. In particular:</w:t>
      </w:r>
    </w:p>
    <w:p w14:paraId="4AE223D2" w14:textId="4C7E7AE8" w:rsidR="00C84F4F" w:rsidRPr="00262AD1" w:rsidRDefault="00C84F4F" w:rsidP="000719FC">
      <w:pPr>
        <w:pStyle w:val="BulletNew"/>
      </w:pPr>
      <w:r w:rsidRPr="00262AD1">
        <w:t>The distinction between the "Services" (the core scope in Schedule 3) and "Additional Services" is important. Additional Services should be separately authorised in writing by the Client and agreed between the Parties before the Consultant is entitled to any additional fee (in accordance with clause 2.5)</w:t>
      </w:r>
      <w:r w:rsidR="00CE24D7">
        <w:t xml:space="preserve">.  </w:t>
      </w:r>
    </w:p>
    <w:p w14:paraId="6084FB57" w14:textId="2D1057CB" w:rsidR="00C84F4F" w:rsidRPr="00262AD1" w:rsidRDefault="007F3777" w:rsidP="000719FC">
      <w:pPr>
        <w:pStyle w:val="BulletNew"/>
      </w:pPr>
      <w:r w:rsidRPr="00262AD1">
        <w:t>Completion is a key milestone under the Agreement as several obligations (including the insurance period and liability period) run from this date. You should make sure that the definition of "Completion" is consistent with the definition used in the relevant building Contract.</w:t>
      </w:r>
    </w:p>
    <w:p w14:paraId="19D8CA13" w14:textId="2A4816D7" w:rsidR="00390A93" w:rsidRPr="00262AD1" w:rsidRDefault="00390A93" w:rsidP="000719FC">
      <w:pPr>
        <w:pStyle w:val="BBHeading2"/>
        <w:rPr>
          <w:color w:val="000000" w:themeColor="text1"/>
        </w:rPr>
      </w:pPr>
      <w:r w:rsidRPr="00262AD1">
        <w:rPr>
          <w:color w:val="000000" w:themeColor="text1"/>
        </w:rPr>
        <w:t xml:space="preserve">Clause 2: </w:t>
      </w:r>
      <w:r w:rsidR="003C188B" w:rsidRPr="00262AD1">
        <w:rPr>
          <w:color w:val="000000" w:themeColor="text1"/>
        </w:rPr>
        <w:t xml:space="preserve">Appointment of Consultant and Consultant's Authority </w:t>
      </w:r>
    </w:p>
    <w:p w14:paraId="2CCCF31A" w14:textId="3EB2B267" w:rsidR="00390A93" w:rsidRPr="00262AD1" w:rsidRDefault="00390A93" w:rsidP="000719FC">
      <w:pPr>
        <w:pStyle w:val="BBBodyTextIndent1"/>
        <w:rPr>
          <w:color w:val="000000" w:themeColor="text1"/>
        </w:rPr>
      </w:pPr>
      <w:r w:rsidRPr="00262AD1">
        <w:rPr>
          <w:b/>
          <w:bCs/>
          <w:color w:val="000000" w:themeColor="text1"/>
        </w:rPr>
        <w:t>Purpose</w:t>
      </w:r>
      <w:r w:rsidRPr="00262AD1">
        <w:rPr>
          <w:color w:val="000000" w:themeColor="text1"/>
        </w:rPr>
        <w:t xml:space="preserve">: </w:t>
      </w:r>
      <w:r w:rsidR="0088587A" w:rsidRPr="00262AD1">
        <w:rPr>
          <w:color w:val="000000" w:themeColor="text1"/>
        </w:rPr>
        <w:t>This clause creates the Consultant’s binding legal appointment, sets the scope of services and the mechanism for controlling costs, and protects the Client from liability arising from its approvals. It also ensures any services provided before the start date are included within the Agreement, places clear limits on the Consultant’s authority to act, and establishes a practical governance structure between the Client, the Project Manager and the Consultant.</w:t>
      </w:r>
    </w:p>
    <w:p w14:paraId="005B4171" w14:textId="1BF82C25" w:rsidR="00800894" w:rsidRPr="00262AD1" w:rsidRDefault="00800894" w:rsidP="00750122">
      <w:pPr>
        <w:pStyle w:val="BBBodyTextIndent1"/>
        <w:keepNext/>
        <w:rPr>
          <w:color w:val="000000" w:themeColor="text1"/>
        </w:rPr>
      </w:pPr>
      <w:r w:rsidRPr="00262AD1">
        <w:rPr>
          <w:b/>
          <w:bCs/>
          <w:color w:val="000000" w:themeColor="text1"/>
        </w:rPr>
        <w:lastRenderedPageBreak/>
        <w:t>Guidance for CEG:</w:t>
      </w:r>
      <w:r w:rsidR="00750122">
        <w:rPr>
          <w:b/>
          <w:bCs/>
          <w:color w:val="000000" w:themeColor="text1"/>
        </w:rPr>
        <w:t xml:space="preserve"> </w:t>
      </w:r>
      <w:r w:rsidRPr="00262AD1">
        <w:rPr>
          <w:color w:val="000000" w:themeColor="text1"/>
        </w:rPr>
        <w:t xml:space="preserve">Key points to bear in mind: </w:t>
      </w:r>
    </w:p>
    <w:p w14:paraId="36E47B4E" w14:textId="2695EB72" w:rsidR="0088587A" w:rsidRPr="00262AD1" w:rsidRDefault="0088587A" w:rsidP="00750122">
      <w:pPr>
        <w:pStyle w:val="BulletNew"/>
        <w:keepNext/>
      </w:pPr>
      <w:r w:rsidRPr="00262AD1">
        <w:t xml:space="preserve">This Agreement replaces all earlier discussions or agreements about the Services, whether spoken or </w:t>
      </w:r>
      <w:proofErr w:type="gramStart"/>
      <w:r w:rsidRPr="00262AD1">
        <w:t>written</w:t>
      </w:r>
      <w:r w:rsidR="00CE24D7">
        <w:t>;</w:t>
      </w:r>
      <w:proofErr w:type="gramEnd"/>
    </w:p>
    <w:p w14:paraId="765B423D" w14:textId="2C04A69A" w:rsidR="0088587A" w:rsidRPr="00262AD1" w:rsidRDefault="0088587A" w:rsidP="000719FC">
      <w:pPr>
        <w:pStyle w:val="BulletNew"/>
      </w:pPr>
      <w:r w:rsidRPr="00262AD1">
        <w:t xml:space="preserve">The Client can tell the Consultant at any time to stop carrying out part of the Services. If this happens, the Fee </w:t>
      </w:r>
      <w:r w:rsidR="00F253D3">
        <w:t>to be paid is to</w:t>
      </w:r>
      <w:r w:rsidRPr="00262AD1">
        <w:t xml:space="preserve"> be reduced by a fair and reasonable amount. This gives you flexibility as the Project </w:t>
      </w:r>
      <w:proofErr w:type="gramStart"/>
      <w:r w:rsidRPr="00262AD1">
        <w:t>changes;</w:t>
      </w:r>
      <w:proofErr w:type="gramEnd"/>
    </w:p>
    <w:p w14:paraId="2609155F" w14:textId="77777777" w:rsidR="0088587A" w:rsidRPr="00262AD1" w:rsidRDefault="0088587A" w:rsidP="000719FC">
      <w:pPr>
        <w:pStyle w:val="BulletNew"/>
      </w:pPr>
      <w:r w:rsidRPr="00262AD1">
        <w:t xml:space="preserve">The Client can also request Additional Services, but these must be agreed and approved in writing before the Consultant starts them. This ensures any changes in scope are clearly recorded and avoids disagreements about extra fees; and </w:t>
      </w:r>
    </w:p>
    <w:p w14:paraId="1CDA23B5" w14:textId="4585B70D" w:rsidR="00800894" w:rsidRPr="00262AD1" w:rsidRDefault="0088587A" w:rsidP="000719FC">
      <w:pPr>
        <w:pStyle w:val="BulletNew"/>
      </w:pPr>
      <w:r w:rsidRPr="00262AD1">
        <w:t>If the Consultant notices a conflict between instructions from the Project Manager and the Client, it must tell the Client and the Project Manager immediately. The Parties will then agree on how to proceed</w:t>
      </w:r>
      <w:r w:rsidR="00800894" w:rsidRPr="00262AD1">
        <w:t>.</w:t>
      </w:r>
    </w:p>
    <w:p w14:paraId="7798A221" w14:textId="77777777" w:rsidR="00800894" w:rsidRPr="00750122" w:rsidRDefault="00800894" w:rsidP="000719FC">
      <w:pPr>
        <w:pStyle w:val="BBHeading2"/>
      </w:pPr>
      <w:r w:rsidRPr="00750122">
        <w:t xml:space="preserve">Clause 3: Consultant's Obligations </w:t>
      </w:r>
      <w:r w:rsidRPr="00750122">
        <w:rPr>
          <w:color w:val="FF0000"/>
        </w:rPr>
        <w:t>COMMONLY NEGOTIATED</w:t>
      </w:r>
    </w:p>
    <w:p w14:paraId="3590C1DA" w14:textId="1821061C" w:rsidR="00800894" w:rsidRPr="00262AD1" w:rsidRDefault="00800894" w:rsidP="000719FC">
      <w:pPr>
        <w:pStyle w:val="BBBodyTextIndent1"/>
        <w:rPr>
          <w:color w:val="000000" w:themeColor="text1"/>
        </w:rPr>
      </w:pPr>
      <w:r w:rsidRPr="00262AD1">
        <w:rPr>
          <w:b/>
          <w:bCs/>
          <w:color w:val="000000" w:themeColor="text1"/>
        </w:rPr>
        <w:t>Purpose:</w:t>
      </w:r>
      <w:r w:rsidRPr="00262AD1">
        <w:rPr>
          <w:color w:val="000000" w:themeColor="text1"/>
        </w:rPr>
        <w:t xml:space="preserve"> </w:t>
      </w:r>
      <w:r w:rsidR="0088587A" w:rsidRPr="00262AD1">
        <w:rPr>
          <w:color w:val="000000" w:themeColor="text1"/>
        </w:rPr>
        <w:t>This clause sets out the Consultant’s core obligations and warranties, including to carry out the Services in a way that does not place the Client in breach of any third</w:t>
      </w:r>
      <w:r w:rsidR="0088587A" w:rsidRPr="00262AD1">
        <w:rPr>
          <w:rFonts w:ascii="Cambria Math" w:hAnsi="Cambria Math" w:cs="Cambria Math"/>
          <w:color w:val="000000" w:themeColor="text1"/>
        </w:rPr>
        <w:t>‑</w:t>
      </w:r>
      <w:r w:rsidR="0088587A" w:rsidRPr="00262AD1">
        <w:rPr>
          <w:color w:val="000000" w:themeColor="text1"/>
        </w:rPr>
        <w:t xml:space="preserve">party agreement (including any Forward Funding Agreement. The clause simultaneously establishes the standard against which the Consultant's performance will be judged, imposes a series of specific legal and regulatory compliance obligations, and creates </w:t>
      </w:r>
      <w:proofErr w:type="gramStart"/>
      <w:r w:rsidR="0088587A" w:rsidRPr="00262AD1">
        <w:rPr>
          <w:color w:val="000000" w:themeColor="text1"/>
        </w:rPr>
        <w:t>a number of</w:t>
      </w:r>
      <w:proofErr w:type="gramEnd"/>
      <w:r w:rsidR="0088587A" w:rsidRPr="00262AD1">
        <w:rPr>
          <w:color w:val="000000" w:themeColor="text1"/>
        </w:rPr>
        <w:t xml:space="preserve"> express warranties on which the Client can rely and, where necessary, enforce</w:t>
      </w:r>
      <w:r w:rsidRPr="00262AD1">
        <w:rPr>
          <w:color w:val="000000" w:themeColor="text1"/>
        </w:rPr>
        <w:t>.</w:t>
      </w:r>
    </w:p>
    <w:p w14:paraId="0D699766" w14:textId="77777777" w:rsidR="00800894" w:rsidRPr="00262AD1" w:rsidRDefault="00800894" w:rsidP="000719FC">
      <w:pPr>
        <w:pStyle w:val="BBBodyTextIndent1"/>
        <w:rPr>
          <w:b/>
          <w:bCs/>
          <w:color w:val="000000" w:themeColor="text1"/>
        </w:rPr>
      </w:pPr>
      <w:r w:rsidRPr="00262AD1">
        <w:rPr>
          <w:b/>
          <w:bCs/>
          <w:color w:val="000000" w:themeColor="text1"/>
        </w:rPr>
        <w:t>Action Required:</w:t>
      </w:r>
    </w:p>
    <w:p w14:paraId="4FF585F9" w14:textId="77777777" w:rsidR="0088587A" w:rsidRPr="00262AD1" w:rsidRDefault="0088587A" w:rsidP="000719FC">
      <w:pPr>
        <w:pStyle w:val="BulletNew"/>
      </w:pPr>
      <w:r w:rsidRPr="00262AD1">
        <w:t>Consider whether to include "promptly" in clause 3.3 (see guidance notes below).</w:t>
      </w:r>
    </w:p>
    <w:p w14:paraId="192189AF" w14:textId="77777777" w:rsidR="0088587A" w:rsidRPr="00262AD1" w:rsidRDefault="0088587A" w:rsidP="000719FC">
      <w:pPr>
        <w:pStyle w:val="BulletNew"/>
      </w:pPr>
      <w:r w:rsidRPr="00262AD1">
        <w:t>Confirm the schedule for collateral warranties (clause 3.11) and identify all likely beneficiaries (Funders, Purchasers, Landlords and Tenants) at the outset.</w:t>
      </w:r>
    </w:p>
    <w:p w14:paraId="44EAF0FC" w14:textId="36ABCB74" w:rsidR="00800894" w:rsidRPr="00262AD1" w:rsidRDefault="0088587A" w:rsidP="000719FC">
      <w:pPr>
        <w:pStyle w:val="BulletNew"/>
      </w:pPr>
      <w:r w:rsidRPr="00262AD1">
        <w:t>Review the Prohibited Materials warranty (clause 3.12) and ensure it aligns with the specification requirements for the Project</w:t>
      </w:r>
      <w:r w:rsidR="00800894" w:rsidRPr="00262AD1">
        <w:t>.</w:t>
      </w:r>
    </w:p>
    <w:p w14:paraId="17B0AED8" w14:textId="1717047B" w:rsidR="00DF1377" w:rsidRDefault="00800894" w:rsidP="00CE24D7">
      <w:pPr>
        <w:pStyle w:val="BBBodyTextIndent1"/>
        <w:keepNext/>
      </w:pPr>
      <w:r w:rsidRPr="00262AD1">
        <w:rPr>
          <w:b/>
          <w:bCs/>
          <w:color w:val="000000" w:themeColor="text1"/>
        </w:rPr>
        <w:t>Guidance for CEG:</w:t>
      </w:r>
      <w:r w:rsidR="00CE24D7">
        <w:rPr>
          <w:b/>
          <w:bCs/>
          <w:color w:val="000000" w:themeColor="text1"/>
        </w:rPr>
        <w:t xml:space="preserve"> </w:t>
      </w:r>
      <w:r w:rsidR="00DF1377" w:rsidRPr="00DF1377">
        <w:t xml:space="preserve">The standard of care in clause 3.1 is negligence-based </w:t>
      </w:r>
      <w:r w:rsidR="00DF1377">
        <w:t>-</w:t>
      </w:r>
      <w:r w:rsidR="00DF1377" w:rsidRPr="00DF1377">
        <w:t xml:space="preserve"> the Consultant is required to exercise the skill, care and diligence of a "properly and appropriately qualified and competent </w:t>
      </w:r>
      <w:r w:rsidR="00F253D3">
        <w:t>[</w:t>
      </w:r>
      <w:r w:rsidR="00DF1377" w:rsidRPr="00DF1377">
        <w:t>architect</w:t>
      </w:r>
      <w:r w:rsidR="00F253D3">
        <w:t>]</w:t>
      </w:r>
      <w:r w:rsidR="00DF1377" w:rsidRPr="00DF1377">
        <w:t xml:space="preserve"> experienced in providing services in connection with works of a similar size, nature, scope and complexity". This is the market standard for professional appointments and does not amount to a fitness for purpose obligation</w:t>
      </w:r>
      <w:r w:rsidR="000719FC">
        <w:t xml:space="preserve"> (which is more onerous)</w:t>
      </w:r>
      <w:r w:rsidR="00DF1377" w:rsidRPr="00DF1377">
        <w:t>. The distinction matters: if the design turns out to be unfit for purpose but the Consultant exercised</w:t>
      </w:r>
      <w:r w:rsidR="00F253D3">
        <w:t xml:space="preserve"> such</w:t>
      </w:r>
      <w:r w:rsidR="00DF1377" w:rsidRPr="00DF1377">
        <w:t xml:space="preserve"> reasonable skill and care in producing it, the Consultant will not be in breach.</w:t>
      </w:r>
    </w:p>
    <w:p w14:paraId="73DA4868" w14:textId="35B5BA16" w:rsidR="0088587A" w:rsidRPr="00262AD1" w:rsidRDefault="0088587A" w:rsidP="00CE24D7">
      <w:pPr>
        <w:pStyle w:val="BBBodyTextIndent1"/>
        <w:keepNext/>
      </w:pPr>
      <w:r w:rsidRPr="00262AD1">
        <w:t>The option to include the obligation to act "promptly" is about ensuring the Consultant acts in a timely manner, rather than simply when it is convenient for them. This helps make sure that safety compliance isn’t jeopardised, delays are avoided, and the Client has clear contractual protection.</w:t>
      </w:r>
    </w:p>
    <w:p w14:paraId="5F695410" w14:textId="7AD50A62" w:rsidR="00800894" w:rsidRPr="00262AD1" w:rsidRDefault="0088587A" w:rsidP="00CE24D7">
      <w:pPr>
        <w:pStyle w:val="BBBodyTextIndent1"/>
        <w:keepNext/>
      </w:pPr>
      <w:r w:rsidRPr="00262AD1">
        <w:t>The</w:t>
      </w:r>
      <w:r w:rsidR="00F253D3">
        <w:t>re is a warranty in relation to the</w:t>
      </w:r>
      <w:r w:rsidRPr="00262AD1">
        <w:t xml:space="preserve"> Building Safety Laws in clause 3.8. The Consultant warrants that neither it nor any of its officers, employees, agents or sub-consultants has done, or will do, anything that is in breach of, or likely to result in a breach of, any </w:t>
      </w:r>
      <w:r w:rsidRPr="00262AD1">
        <w:lastRenderedPageBreak/>
        <w:t>Building Safety Laws. This is a continuing obligation throughout the duration of the appointment</w:t>
      </w:r>
      <w:r w:rsidR="00800894" w:rsidRPr="00262AD1">
        <w:t>.</w:t>
      </w:r>
    </w:p>
    <w:p w14:paraId="66CACCCA" w14:textId="78584277" w:rsidR="00800894" w:rsidRPr="00750122" w:rsidRDefault="00800894" w:rsidP="000719FC">
      <w:pPr>
        <w:pStyle w:val="BBHeading2"/>
      </w:pPr>
      <w:r w:rsidRPr="00750122">
        <w:t xml:space="preserve">Clause 4: Consultant's Personnel </w:t>
      </w:r>
      <w:r w:rsidRPr="00750122">
        <w:rPr>
          <w:color w:val="FF0000"/>
        </w:rPr>
        <w:t>COMMONLY NEGOTIATED</w:t>
      </w:r>
      <w:r w:rsidR="00F253D3" w:rsidRPr="00750122">
        <w:rPr>
          <w:color w:val="FF0000"/>
        </w:rPr>
        <w:t xml:space="preserve"> </w:t>
      </w:r>
    </w:p>
    <w:p w14:paraId="316E96F6" w14:textId="77777777" w:rsidR="0088587A" w:rsidRPr="00262AD1" w:rsidRDefault="0088587A" w:rsidP="000719FC">
      <w:pPr>
        <w:pStyle w:val="BBBodyTextIndent1"/>
        <w:keepNext/>
        <w:rPr>
          <w:color w:val="000000" w:themeColor="text1"/>
        </w:rPr>
      </w:pPr>
      <w:r w:rsidRPr="00B96DBB">
        <w:rPr>
          <w:b/>
          <w:bCs/>
          <w:color w:val="000000" w:themeColor="text1"/>
        </w:rPr>
        <w:t>Purpose:</w:t>
      </w:r>
      <w:r w:rsidRPr="00262AD1">
        <w:rPr>
          <w:color w:val="000000" w:themeColor="text1"/>
        </w:rPr>
        <w:t xml:space="preserve"> This clause requires the Consultant to appoint named key personnel to direct and control performance of the Services and to use those key persons (as named in Schedule 1) throughout the engagement. It sets out the process for removing and replacing key personnel.</w:t>
      </w:r>
    </w:p>
    <w:p w14:paraId="58E98B98" w14:textId="5BF5D0F5" w:rsidR="00ED74DB" w:rsidRPr="00C23FF6" w:rsidRDefault="00800894" w:rsidP="000719FC">
      <w:pPr>
        <w:pStyle w:val="BBBodyTextIndent1"/>
        <w:keepNext/>
        <w:rPr>
          <w:color w:val="000000" w:themeColor="text1"/>
        </w:rPr>
      </w:pPr>
      <w:r w:rsidRPr="00262AD1">
        <w:rPr>
          <w:b/>
          <w:bCs/>
          <w:color w:val="000000" w:themeColor="text1"/>
        </w:rPr>
        <w:t>Guidance for CEG:</w:t>
      </w:r>
      <w:r w:rsidR="0088587A" w:rsidRPr="00262AD1">
        <w:rPr>
          <w:b/>
          <w:bCs/>
          <w:color w:val="000000" w:themeColor="text1"/>
        </w:rPr>
        <w:t xml:space="preserve"> </w:t>
      </w:r>
      <w:r w:rsidR="00ED74DB" w:rsidRPr="00C23FF6">
        <w:rPr>
          <w:color w:val="000000" w:themeColor="text1"/>
        </w:rPr>
        <w:t xml:space="preserve">This clause is commonly negotiated if a key person is strategically important to the Project. </w:t>
      </w:r>
    </w:p>
    <w:p w14:paraId="399CDE0E" w14:textId="057AF3D9" w:rsidR="00800894" w:rsidRPr="00262AD1" w:rsidRDefault="0088587A" w:rsidP="000719FC">
      <w:pPr>
        <w:pStyle w:val="BBBodyTextIndent1"/>
        <w:keepNext/>
        <w:rPr>
          <w:b/>
          <w:bCs/>
          <w:color w:val="000000" w:themeColor="text1"/>
        </w:rPr>
      </w:pPr>
      <w:r w:rsidRPr="00262AD1">
        <w:rPr>
          <w:color w:val="000000" w:themeColor="text1"/>
        </w:rPr>
        <w:t>The Consultant cannot generally remove or replace a key person without the Client's prior approval, which must not be unreasonably withheld or delayed</w:t>
      </w:r>
      <w:r w:rsidR="00473F42">
        <w:rPr>
          <w:color w:val="000000" w:themeColor="text1"/>
        </w:rPr>
        <w:t xml:space="preserve"> (although it will not stop staff leaving the company or being removed due to e.g. illness)</w:t>
      </w:r>
      <w:r w:rsidRPr="00262AD1">
        <w:rPr>
          <w:color w:val="000000" w:themeColor="text1"/>
        </w:rPr>
        <w:t>. The Client also has the right to request the removal of any person engaged in the performance of the Services if their performance or conduct is or has been unsatisfactory. This gives you important control over the quality and continuity of service delivery.</w:t>
      </w:r>
    </w:p>
    <w:p w14:paraId="51FF9D32" w14:textId="77777777" w:rsidR="00800894" w:rsidRPr="00262AD1" w:rsidRDefault="00800894" w:rsidP="000719FC">
      <w:pPr>
        <w:pStyle w:val="BBHeading2"/>
      </w:pPr>
      <w:r w:rsidRPr="00262AD1">
        <w:t xml:space="preserve">Clause 5: Building Regulations Dutyholder Obligations </w:t>
      </w:r>
    </w:p>
    <w:p w14:paraId="563E6666" w14:textId="1A4C975B" w:rsidR="00800894" w:rsidRPr="00262AD1" w:rsidRDefault="00800894" w:rsidP="000719FC">
      <w:pPr>
        <w:pStyle w:val="BBBodyTextIndent1"/>
        <w:rPr>
          <w:color w:val="000000" w:themeColor="text1"/>
        </w:rPr>
      </w:pPr>
      <w:r w:rsidRPr="00262AD1">
        <w:rPr>
          <w:b/>
          <w:bCs/>
          <w:color w:val="000000" w:themeColor="text1"/>
        </w:rPr>
        <w:t>Purpose:</w:t>
      </w:r>
      <w:r w:rsidRPr="00262AD1">
        <w:rPr>
          <w:color w:val="000000" w:themeColor="text1"/>
        </w:rPr>
        <w:t xml:space="preserve"> </w:t>
      </w:r>
      <w:r w:rsidR="0088587A" w:rsidRPr="00262AD1">
        <w:rPr>
          <w:color w:val="000000" w:themeColor="text1"/>
        </w:rPr>
        <w:t>This clause requires the Consultant to comply with all obligations imposed on it in its role as</w:t>
      </w:r>
      <w:r w:rsidR="00473F42">
        <w:rPr>
          <w:color w:val="000000" w:themeColor="text1"/>
        </w:rPr>
        <w:t xml:space="preserve"> a designer and if relevant, as</w:t>
      </w:r>
      <w:r w:rsidR="0088587A" w:rsidRPr="00262AD1">
        <w:rPr>
          <w:color w:val="000000" w:themeColor="text1"/>
        </w:rPr>
        <w:t xml:space="preserve"> Building Regulations Principal Designer for the Project (or in another </w:t>
      </w:r>
      <w:proofErr w:type="spellStart"/>
      <w:r w:rsidR="0088587A" w:rsidRPr="00262AD1">
        <w:rPr>
          <w:color w:val="000000" w:themeColor="text1"/>
        </w:rPr>
        <w:t>dutyholder</w:t>
      </w:r>
      <w:proofErr w:type="spellEnd"/>
      <w:r w:rsidR="0088587A" w:rsidRPr="00262AD1">
        <w:rPr>
          <w:color w:val="000000" w:themeColor="text1"/>
        </w:rPr>
        <w:t xml:space="preserve"> capacity). The Consultant warrants that it is and will remain competent to fulfil the relevant duties set out for the duration of the Agreement</w:t>
      </w:r>
      <w:r w:rsidRPr="00262AD1">
        <w:rPr>
          <w:color w:val="000000" w:themeColor="text1"/>
        </w:rPr>
        <w:t>.</w:t>
      </w:r>
    </w:p>
    <w:p w14:paraId="32EB2BBA" w14:textId="77777777" w:rsidR="00800894" w:rsidRPr="00262AD1" w:rsidRDefault="00800894" w:rsidP="000719FC">
      <w:pPr>
        <w:pStyle w:val="BBBodyTextIndent1"/>
        <w:rPr>
          <w:b/>
          <w:bCs/>
          <w:color w:val="000000" w:themeColor="text1"/>
        </w:rPr>
      </w:pPr>
      <w:r w:rsidRPr="00262AD1">
        <w:rPr>
          <w:b/>
          <w:bCs/>
          <w:color w:val="000000" w:themeColor="text1"/>
        </w:rPr>
        <w:t>Action Required:</w:t>
      </w:r>
    </w:p>
    <w:p w14:paraId="6CAC7D54" w14:textId="77777777" w:rsidR="0088587A" w:rsidRPr="00262AD1" w:rsidRDefault="0088587A" w:rsidP="000719FC">
      <w:pPr>
        <w:pStyle w:val="BulletNew"/>
      </w:pPr>
      <w:r w:rsidRPr="00262AD1">
        <w:t>Confirm whether the Consultant is acting as Building Regulations Principal Designer and update the drafting in clause 5.1 accordingly. If the Consultant is not to perform this role, clause 5.1 should be deleted.</w:t>
      </w:r>
    </w:p>
    <w:p w14:paraId="2E777738" w14:textId="3D3278B2" w:rsidR="00800894" w:rsidRPr="00262AD1" w:rsidRDefault="0088587A" w:rsidP="000719FC">
      <w:pPr>
        <w:pStyle w:val="BulletNew"/>
      </w:pPr>
      <w:r w:rsidRPr="00262AD1">
        <w:t>Confirm which Building Regulations role (Designer, and/or Building Regulations Principal Designer) applies and complete the drafting in clauses 5.2 and 5.3 accordingly. Delete inapplicable roles from the square brackets</w:t>
      </w:r>
      <w:r w:rsidR="00800894" w:rsidRPr="00262AD1">
        <w:t>.</w:t>
      </w:r>
    </w:p>
    <w:p w14:paraId="10C96733" w14:textId="422C2854" w:rsidR="00800894" w:rsidRPr="00262AD1" w:rsidRDefault="00800894" w:rsidP="000719FC">
      <w:pPr>
        <w:pStyle w:val="BBBodyTextIndent1"/>
      </w:pPr>
      <w:r w:rsidRPr="00262AD1">
        <w:rPr>
          <w:b/>
          <w:bCs/>
          <w:color w:val="000000" w:themeColor="text1"/>
        </w:rPr>
        <w:t>Guidance for CEG:</w:t>
      </w:r>
      <w:r w:rsidR="0088587A" w:rsidRPr="00262AD1">
        <w:rPr>
          <w:b/>
          <w:bCs/>
          <w:color w:val="000000" w:themeColor="text1"/>
        </w:rPr>
        <w:t xml:space="preserve"> </w:t>
      </w:r>
      <w:r w:rsidR="0088587A" w:rsidRPr="00262AD1">
        <w:t>The appointment of a Building Regulations Principal Designer is a legal requirement under the Building Regulations for most construction projects. The Consultant must be competent to fulfil the relevant duties and must warrant that its officers, employees, agents and sub-consultants are also competent</w:t>
      </w:r>
      <w:r w:rsidRPr="00262AD1">
        <w:t xml:space="preserve">. </w:t>
      </w:r>
    </w:p>
    <w:p w14:paraId="1988D4C4" w14:textId="77777777" w:rsidR="00800894" w:rsidRPr="00262AD1" w:rsidRDefault="00800894" w:rsidP="000719FC">
      <w:pPr>
        <w:pStyle w:val="BBHeading2"/>
      </w:pPr>
      <w:r w:rsidRPr="00262AD1">
        <w:t>Clause 6: Client's Obligations</w:t>
      </w:r>
    </w:p>
    <w:p w14:paraId="01D6C491" w14:textId="77777777" w:rsidR="0088587A" w:rsidRPr="00262AD1" w:rsidRDefault="0088587A" w:rsidP="000719FC">
      <w:pPr>
        <w:pStyle w:val="BBClause2"/>
        <w:numPr>
          <w:ilvl w:val="0"/>
          <w:numId w:val="0"/>
        </w:numPr>
        <w:spacing w:before="240"/>
        <w:ind w:left="720"/>
        <w:rPr>
          <w:szCs w:val="22"/>
        </w:rPr>
      </w:pPr>
      <w:r w:rsidRPr="00262AD1">
        <w:rPr>
          <w:b/>
          <w:bCs/>
          <w:szCs w:val="22"/>
        </w:rPr>
        <w:t>Purpose:</w:t>
      </w:r>
      <w:r w:rsidRPr="00262AD1">
        <w:rPr>
          <w:szCs w:val="22"/>
        </w:rPr>
        <w:t xml:space="preserve"> This clause requires the Client to provide the Consultant with any relevant information it reasonably requests and to use reasonable efforts to ensure other consultants and Contractors engaged by the Client in relation to the Project do the same. The Client is also required to meet its duties under the CDM Regulations. </w:t>
      </w:r>
    </w:p>
    <w:p w14:paraId="273F9E2F" w14:textId="77777777" w:rsidR="0088587A" w:rsidRPr="00262AD1" w:rsidRDefault="0088587A" w:rsidP="000719FC">
      <w:pPr>
        <w:pStyle w:val="BBClause2"/>
        <w:numPr>
          <w:ilvl w:val="0"/>
          <w:numId w:val="0"/>
        </w:numPr>
        <w:spacing w:before="240"/>
        <w:ind w:left="720"/>
        <w:rPr>
          <w:szCs w:val="22"/>
        </w:rPr>
      </w:pPr>
      <w:r w:rsidRPr="00262AD1">
        <w:rPr>
          <w:b/>
          <w:bCs/>
          <w:szCs w:val="22"/>
        </w:rPr>
        <w:t>Guidance for CEG:</w:t>
      </w:r>
      <w:r w:rsidRPr="00262AD1">
        <w:rPr>
          <w:szCs w:val="22"/>
        </w:rPr>
        <w:t xml:space="preserve"> Whilst the Client's obligations in this clause are relatively limited compared to those of the Consultant, the obligation to provide timely and adequate information is critical to enabling the Consultant to perform the Services on programme and within budget. Delays or inadequacies in information provided by the Client may give rise to programme adjustments and, potentially, to claims by the Consultant for Additional Services fees.</w:t>
      </w:r>
    </w:p>
    <w:p w14:paraId="01AB12AE" w14:textId="43C5C0D2" w:rsidR="00800894" w:rsidRPr="00750122" w:rsidRDefault="00800894" w:rsidP="000719FC">
      <w:pPr>
        <w:pStyle w:val="BBHeading2"/>
      </w:pPr>
      <w:r w:rsidRPr="00750122">
        <w:lastRenderedPageBreak/>
        <w:t xml:space="preserve">Clause 7: Remuneration </w:t>
      </w:r>
      <w:r w:rsidRPr="00750122">
        <w:rPr>
          <w:color w:val="FF0000"/>
        </w:rPr>
        <w:t>COMMONLY NEGOTIATED</w:t>
      </w:r>
      <w:r w:rsidR="00A1270D">
        <w:rPr>
          <w:color w:val="FF0000"/>
        </w:rPr>
        <w:t xml:space="preserve"> AND HIGH PRIORITY</w:t>
      </w:r>
    </w:p>
    <w:p w14:paraId="1AF84C0B" w14:textId="77777777" w:rsidR="00800894" w:rsidRPr="00262AD1" w:rsidRDefault="00800894" w:rsidP="000719FC">
      <w:pPr>
        <w:pStyle w:val="BBBodyTextIndent1"/>
        <w:rPr>
          <w:color w:val="000000" w:themeColor="text1"/>
        </w:rPr>
      </w:pPr>
      <w:r w:rsidRPr="00262AD1">
        <w:rPr>
          <w:b/>
          <w:bCs/>
          <w:color w:val="000000" w:themeColor="text1"/>
        </w:rPr>
        <w:t>Purpose:</w:t>
      </w:r>
      <w:r w:rsidRPr="00262AD1">
        <w:rPr>
          <w:color w:val="000000" w:themeColor="text1"/>
        </w:rPr>
        <w:t xml:space="preserve"> This clause provides for the payment of the Fee to the Consultant for the Services. </w:t>
      </w:r>
    </w:p>
    <w:p w14:paraId="428A09A1" w14:textId="77777777" w:rsidR="00800894" w:rsidRPr="00262AD1" w:rsidRDefault="00800894" w:rsidP="000719FC">
      <w:pPr>
        <w:pStyle w:val="BBBodyTextIndent1"/>
        <w:rPr>
          <w:b/>
          <w:bCs/>
          <w:color w:val="000000" w:themeColor="text1"/>
        </w:rPr>
      </w:pPr>
      <w:r w:rsidRPr="00262AD1">
        <w:rPr>
          <w:b/>
          <w:bCs/>
          <w:color w:val="000000" w:themeColor="text1"/>
        </w:rPr>
        <w:t>Action Required:</w:t>
      </w:r>
    </w:p>
    <w:p w14:paraId="44A048D8" w14:textId="5B561FAA" w:rsidR="00800894" w:rsidRPr="00262AD1" w:rsidRDefault="00800894" w:rsidP="000719FC">
      <w:pPr>
        <w:pStyle w:val="BulletNew"/>
      </w:pPr>
      <w:r w:rsidRPr="00262AD1">
        <w:t>Insert the total lump sum Fee (exclusive of VAT)</w:t>
      </w:r>
      <w:r w:rsidR="00B96DBB">
        <w:t xml:space="preserve">. </w:t>
      </w:r>
    </w:p>
    <w:p w14:paraId="54175AC3" w14:textId="1DF721F8" w:rsidR="00800894" w:rsidRPr="00262AD1" w:rsidRDefault="00800894" w:rsidP="000719FC">
      <w:pPr>
        <w:pStyle w:val="BBBodyTextIndent1"/>
        <w:rPr>
          <w:b/>
          <w:bCs/>
          <w:color w:val="000000" w:themeColor="text1"/>
        </w:rPr>
      </w:pPr>
      <w:r w:rsidRPr="00262AD1">
        <w:rPr>
          <w:b/>
          <w:bCs/>
          <w:color w:val="000000" w:themeColor="text1"/>
        </w:rPr>
        <w:t>Guidance for CEG:</w:t>
      </w:r>
      <w:r w:rsidR="0088587A" w:rsidRPr="00262AD1">
        <w:rPr>
          <w:b/>
          <w:bCs/>
          <w:color w:val="000000" w:themeColor="text1"/>
        </w:rPr>
        <w:t xml:space="preserve"> </w:t>
      </w:r>
      <w:r w:rsidR="0088587A" w:rsidRPr="00262AD1">
        <w:rPr>
          <w:color w:val="000000" w:themeColor="text1"/>
        </w:rPr>
        <w:t>The Fee and any additional sums agreed in respect of Additional Services are to be paid as provided in Schedule 2, including the relevant instalment dates and corresponding payment amounts. See further guidance in relation to Schedule 2 below.</w:t>
      </w:r>
    </w:p>
    <w:p w14:paraId="23DFE1FF" w14:textId="241B7A42" w:rsidR="00800894" w:rsidRPr="00750122" w:rsidRDefault="00800894" w:rsidP="000719FC">
      <w:pPr>
        <w:pStyle w:val="BBHeading2"/>
      </w:pPr>
      <w:r w:rsidRPr="00750122">
        <w:t xml:space="preserve">Clause 8: Insurance </w:t>
      </w:r>
      <w:r w:rsidRPr="00750122">
        <w:rPr>
          <w:color w:val="FF0000"/>
        </w:rPr>
        <w:t>COMMONLY NEGOTIATED</w:t>
      </w:r>
      <w:r w:rsidR="00A1270D">
        <w:rPr>
          <w:color w:val="FF0000"/>
        </w:rPr>
        <w:t xml:space="preserve"> AND HIGH PRIORITY</w:t>
      </w:r>
    </w:p>
    <w:p w14:paraId="5EEDA623" w14:textId="0758B5A5" w:rsidR="00800894" w:rsidRPr="00262AD1" w:rsidRDefault="0088587A" w:rsidP="000719FC">
      <w:pPr>
        <w:pStyle w:val="BBBodyTextIndent1"/>
        <w:rPr>
          <w:color w:val="000000" w:themeColor="text1"/>
        </w:rPr>
      </w:pPr>
      <w:r w:rsidRPr="00262AD1">
        <w:rPr>
          <w:b/>
          <w:bCs/>
          <w:color w:val="000000" w:themeColor="text1"/>
        </w:rPr>
        <w:t xml:space="preserve">Purpose: </w:t>
      </w:r>
      <w:r w:rsidRPr="00262AD1">
        <w:rPr>
          <w:color w:val="000000" w:themeColor="text1"/>
        </w:rPr>
        <w:t xml:space="preserve">This clause sets out the Consultant's obligations in respect of maintaining professional indemnity insurance throughout the duration of the Agreement and for a period of </w:t>
      </w:r>
      <w:proofErr w:type="gramStart"/>
      <w:r w:rsidR="00473F42">
        <w:rPr>
          <w:color w:val="000000" w:themeColor="text1"/>
        </w:rPr>
        <w:t xml:space="preserve">12 or </w:t>
      </w:r>
      <w:r w:rsidRPr="00262AD1">
        <w:rPr>
          <w:color w:val="000000" w:themeColor="text1"/>
        </w:rPr>
        <w:t>15 years</w:t>
      </w:r>
      <w:proofErr w:type="gramEnd"/>
      <w:r w:rsidRPr="00262AD1">
        <w:rPr>
          <w:color w:val="000000" w:themeColor="text1"/>
        </w:rPr>
        <w:t xml:space="preserve"> following Completion. This protects the Client against the financial risks associated with the Consultant's performance of the Services. The Consultant bears the insurance burden as the party responsible for the design and professional services on the Project.</w:t>
      </w:r>
    </w:p>
    <w:p w14:paraId="5E0B76E3" w14:textId="77777777" w:rsidR="00800894" w:rsidRPr="00262AD1" w:rsidRDefault="00800894" w:rsidP="000719FC">
      <w:pPr>
        <w:pStyle w:val="BBBodyTextIndent1"/>
        <w:rPr>
          <w:b/>
          <w:bCs/>
          <w:color w:val="000000" w:themeColor="text1"/>
        </w:rPr>
      </w:pPr>
      <w:r w:rsidRPr="00262AD1">
        <w:rPr>
          <w:b/>
          <w:bCs/>
          <w:color w:val="000000" w:themeColor="text1"/>
        </w:rPr>
        <w:t>Action Required:</w:t>
      </w:r>
    </w:p>
    <w:p w14:paraId="17EC05BF" w14:textId="3310133D" w:rsidR="00473F42" w:rsidRPr="00262AD1" w:rsidRDefault="0088587A" w:rsidP="00473F42">
      <w:pPr>
        <w:pStyle w:val="BulletNew"/>
      </w:pPr>
      <w:r w:rsidRPr="00262AD1">
        <w:t>Insert the required minimum level of professional indemnity insurance cover in clause 8.1.1.</w:t>
      </w:r>
    </w:p>
    <w:p w14:paraId="128B78A8" w14:textId="2273A2C4" w:rsidR="00800894" w:rsidRPr="00262AD1" w:rsidRDefault="0088587A" w:rsidP="000719FC">
      <w:pPr>
        <w:pStyle w:val="BulletNew"/>
      </w:pPr>
      <w:r w:rsidRPr="00262AD1">
        <w:t xml:space="preserve">Confirm that the insurance period (until </w:t>
      </w:r>
      <w:r w:rsidR="00473F42">
        <w:t xml:space="preserve">12 or </w:t>
      </w:r>
      <w:r w:rsidRPr="00262AD1">
        <w:t>15 years after the date of Practical Completion) is appropriate for the Project.</w:t>
      </w:r>
      <w:r w:rsidR="00473F42">
        <w:t xml:space="preserve"> The </w:t>
      </w:r>
      <w:proofErr w:type="gramStart"/>
      <w:r w:rsidR="00473F42">
        <w:t>period of time</w:t>
      </w:r>
      <w:proofErr w:type="gramEnd"/>
      <w:r w:rsidR="00473F42">
        <w:t xml:space="preserve"> to bring a claim under a construction project is generally 12 years, however, the Building Safety Act extends this to 15 years for certain related claims. As a result, you may want the consultant to maintain insurance for 15 years so that it corresponds to the limitation period. </w:t>
      </w:r>
    </w:p>
    <w:p w14:paraId="5B1A1A1B" w14:textId="77777777" w:rsidR="0088587A" w:rsidRPr="00262AD1" w:rsidRDefault="00800894" w:rsidP="000719FC">
      <w:pPr>
        <w:pStyle w:val="BBBodyTextIndent1"/>
        <w:rPr>
          <w:szCs w:val="22"/>
        </w:rPr>
      </w:pPr>
      <w:r w:rsidRPr="00262AD1">
        <w:rPr>
          <w:b/>
          <w:bCs/>
          <w:color w:val="000000" w:themeColor="text1"/>
        </w:rPr>
        <w:t>Guidance for CEG:</w:t>
      </w:r>
      <w:r w:rsidR="0088587A" w:rsidRPr="00262AD1">
        <w:rPr>
          <w:b/>
          <w:bCs/>
          <w:color w:val="000000" w:themeColor="text1"/>
        </w:rPr>
        <w:t xml:space="preserve"> </w:t>
      </w:r>
      <w:r w:rsidR="0088587A" w:rsidRPr="00262AD1">
        <w:rPr>
          <w:szCs w:val="22"/>
        </w:rPr>
        <w:t>The insurance limit should be set having regard to the potential liability exposure under the Agreement and the nature and scale of the Project. Take advice from your insurance broker before agreeing the minimum level with the Consultant.</w:t>
      </w:r>
    </w:p>
    <w:p w14:paraId="129E0691" w14:textId="5B7398FA" w:rsidR="00800894" w:rsidRPr="00750122" w:rsidRDefault="00800894" w:rsidP="000719FC">
      <w:pPr>
        <w:pStyle w:val="BBHeading2"/>
      </w:pPr>
      <w:r w:rsidRPr="00750122">
        <w:t>Clause 9: Copyright and Confidentiality</w:t>
      </w:r>
      <w:r w:rsidR="00473F42" w:rsidRPr="00750122">
        <w:t xml:space="preserve"> </w:t>
      </w:r>
      <w:r w:rsidR="00473F42" w:rsidRPr="00750122">
        <w:rPr>
          <w:color w:val="FF0000"/>
        </w:rPr>
        <w:t>COMMONLY NEGOTIATED</w:t>
      </w:r>
    </w:p>
    <w:p w14:paraId="7E64B022" w14:textId="72576005" w:rsidR="00800894" w:rsidRPr="00262AD1" w:rsidRDefault="00800894" w:rsidP="000719FC">
      <w:pPr>
        <w:pStyle w:val="BBBodyTextIndent1"/>
        <w:rPr>
          <w:color w:val="000000" w:themeColor="text1"/>
        </w:rPr>
      </w:pPr>
      <w:r w:rsidRPr="00262AD1">
        <w:rPr>
          <w:b/>
          <w:bCs/>
          <w:color w:val="000000" w:themeColor="text1"/>
        </w:rPr>
        <w:t>Purpose:</w:t>
      </w:r>
      <w:r w:rsidRPr="00262AD1">
        <w:rPr>
          <w:color w:val="000000" w:themeColor="text1"/>
        </w:rPr>
        <w:t xml:space="preserve"> </w:t>
      </w:r>
      <w:r w:rsidR="0088587A" w:rsidRPr="00262AD1">
        <w:rPr>
          <w:color w:val="000000" w:themeColor="text1"/>
        </w:rPr>
        <w:t>This clause governs two related but distinct matters: the Client's right to use the Consultant's designs and documents in connection with the Project (the copyright licence); and the Consultant's obligation to keep all information relating to the Project, the Client and other interested parties confidential. Both elements are of significant commercial importance to the CEG, particularly in the context of a shared ownership project where the Project location, financing arrangements and ownership structure may be commercially sensitive</w:t>
      </w:r>
      <w:r w:rsidRPr="00262AD1">
        <w:rPr>
          <w:color w:val="000000" w:themeColor="text1"/>
        </w:rPr>
        <w:t>.</w:t>
      </w:r>
    </w:p>
    <w:p w14:paraId="7F1AEC6B" w14:textId="20962530" w:rsidR="0088587A" w:rsidRPr="00262AD1" w:rsidRDefault="00800894" w:rsidP="00B96DBB">
      <w:pPr>
        <w:pStyle w:val="BBBodyTextIndent1"/>
      </w:pPr>
      <w:r w:rsidRPr="00262AD1">
        <w:rPr>
          <w:b/>
          <w:bCs/>
          <w:color w:val="000000" w:themeColor="text1"/>
        </w:rPr>
        <w:t>Guidance for CEG:</w:t>
      </w:r>
      <w:r w:rsidR="00B96DBB">
        <w:rPr>
          <w:b/>
          <w:bCs/>
          <w:color w:val="000000" w:themeColor="text1"/>
        </w:rPr>
        <w:t xml:space="preserve"> </w:t>
      </w:r>
      <w:r w:rsidR="0088587A" w:rsidRPr="00262AD1">
        <w:t xml:space="preserve">Although copyright in </w:t>
      </w:r>
      <w:r w:rsidR="002A75CB">
        <w:t xml:space="preserve">documents specified </w:t>
      </w:r>
      <w:r w:rsidR="0088587A" w:rsidRPr="00262AD1">
        <w:t xml:space="preserve">remains with the Consultant, the Client receives an irrevocable, royalty-free </w:t>
      </w:r>
      <w:r w:rsidR="00513D8F">
        <w:t xml:space="preserve">and non-exclusive </w:t>
      </w:r>
      <w:r w:rsidR="0088587A" w:rsidRPr="00262AD1">
        <w:t xml:space="preserve">licence to use them for all project purposes </w:t>
      </w:r>
      <w:r w:rsidR="00DF1377">
        <w:t>-</w:t>
      </w:r>
      <w:r w:rsidR="0088587A" w:rsidRPr="00262AD1">
        <w:t xml:space="preserve"> including construction, sale, mortgaging, maintenance and repair. This licence survives termination, meaning the Client can continue to use the designs even if the Consultant's appointment comes to an end. It is </w:t>
      </w:r>
      <w:r w:rsidR="0088587A" w:rsidRPr="00262AD1">
        <w:lastRenderedPageBreak/>
        <w:t>also transferable and can be sub-licensed to third parties</w:t>
      </w:r>
      <w:r w:rsidR="00513D8F">
        <w:t xml:space="preserve">. This licence and the terms of this licence are a key part of the appointment and whilst consultants often attempt to negotiate these, or make them subject to payment, we do not suggest that you accept any limitations on these key copyright terms.  The copyright licence also contains a warranty from the Consultant that it has not breached any </w:t>
      </w:r>
      <w:proofErr w:type="gramStart"/>
      <w:r w:rsidR="00513D8F">
        <w:t>third party</w:t>
      </w:r>
      <w:proofErr w:type="gramEnd"/>
      <w:r w:rsidR="00513D8F">
        <w:t xml:space="preserve"> copyright and that the </w:t>
      </w:r>
      <w:proofErr w:type="gramStart"/>
      <w:r w:rsidR="00513D8F">
        <w:t>use  of</w:t>
      </w:r>
      <w:proofErr w:type="gramEnd"/>
      <w:r w:rsidR="00513D8F">
        <w:t xml:space="preserve"> the licence will not result in you breaching third party copyright either</w:t>
      </w:r>
      <w:r w:rsidR="00831CF9">
        <w:t xml:space="preserve">. This is included as a warranty a) because the Consultant is the party in control of preparing the design and b) so that if the Consultant has breached this </w:t>
      </w:r>
      <w:proofErr w:type="gramStart"/>
      <w:r w:rsidR="00831CF9">
        <w:t>warranty</w:t>
      </w:r>
      <w:proofErr w:type="gramEnd"/>
      <w:r w:rsidR="00831CF9">
        <w:t xml:space="preserve"> then there is a contractual right for you to claim for damages. The clause also includes an indemnity for the associated losses should a third party </w:t>
      </w:r>
      <w:r w:rsidR="00A74BC6">
        <w:t>make a claim against you for breaching their copyright. Indemnities are often negotiated- this is included here as well as the warranty because the indemnified party can recover losses that are outside the contemplation of the parties at the time the contract was entered into, i.e. the losses do not have to be reasonably foreseeable to be recoverable. Losses in relation to breach of copyright can be far reaching. The Consultant can control this as they are the party that will prepare the design</w:t>
      </w:r>
      <w:r w:rsidR="00D42603">
        <w:t>.</w:t>
      </w:r>
    </w:p>
    <w:p w14:paraId="683EE909" w14:textId="19139E51" w:rsidR="00800894" w:rsidRPr="00262AD1" w:rsidRDefault="0088587A" w:rsidP="00B96DBB">
      <w:pPr>
        <w:pStyle w:val="BBBodyTextIndent1"/>
      </w:pPr>
      <w:r w:rsidRPr="00262AD1">
        <w:t xml:space="preserve">The confidentiality obligations are broad, survive termination without limit in time, and expressly include the location of the Site. The Client can seek injunctive relief to prevent any threatened breach of the confidentiality obligations </w:t>
      </w:r>
      <w:r w:rsidR="00DF1377">
        <w:t>-</w:t>
      </w:r>
      <w:r w:rsidRPr="00262AD1">
        <w:t xml:space="preserve"> an important practical remedy where urgent action is needed</w:t>
      </w:r>
      <w:r w:rsidR="00800894" w:rsidRPr="00262AD1">
        <w:t>.</w:t>
      </w:r>
    </w:p>
    <w:p w14:paraId="507EF9FA" w14:textId="77777777" w:rsidR="00800894" w:rsidRPr="00262AD1" w:rsidRDefault="00800894" w:rsidP="000719FC">
      <w:pPr>
        <w:pStyle w:val="BBHeading2"/>
      </w:pPr>
      <w:r w:rsidRPr="00262AD1">
        <w:t>Clause 10: Assignment and Other Dealings</w:t>
      </w:r>
    </w:p>
    <w:p w14:paraId="3248C164" w14:textId="6EC406AB" w:rsidR="00800894" w:rsidRPr="00262AD1" w:rsidRDefault="00800894" w:rsidP="000719FC">
      <w:pPr>
        <w:pStyle w:val="BBBodyTextIndent1"/>
        <w:rPr>
          <w:color w:val="000000" w:themeColor="text1"/>
        </w:rPr>
      </w:pPr>
      <w:r w:rsidRPr="00262AD1">
        <w:rPr>
          <w:b/>
          <w:bCs/>
          <w:color w:val="000000" w:themeColor="text1"/>
        </w:rPr>
        <w:t>Purpose:</w:t>
      </w:r>
      <w:r w:rsidRPr="00262AD1">
        <w:rPr>
          <w:color w:val="000000" w:themeColor="text1"/>
        </w:rPr>
        <w:t xml:space="preserve"> </w:t>
      </w:r>
      <w:bookmarkStart w:id="6" w:name="_Hlk225434769"/>
      <w:bookmarkStart w:id="7" w:name="_Hlk225435510"/>
      <w:r w:rsidR="0088587A" w:rsidRPr="00262AD1">
        <w:rPr>
          <w:color w:val="000000" w:themeColor="text1"/>
        </w:rPr>
        <w:t xml:space="preserve">This clause restricts </w:t>
      </w:r>
      <w:r w:rsidR="004C697A">
        <w:rPr>
          <w:color w:val="000000" w:themeColor="text1"/>
        </w:rPr>
        <w:t>the Contractor’s</w:t>
      </w:r>
      <w:r w:rsidR="0088587A" w:rsidRPr="00262AD1">
        <w:rPr>
          <w:color w:val="000000" w:themeColor="text1"/>
        </w:rPr>
        <w:t xml:space="preserve"> ability to transfer the Agreement without consent. The Consultant may not assign, charge or transfer any of its rights under the Agreement without the Client's prior written consent. </w:t>
      </w:r>
      <w:r w:rsidR="000B1031">
        <w:rPr>
          <w:color w:val="000000" w:themeColor="text1"/>
        </w:rPr>
        <w:t xml:space="preserve">We have included two options for assignment by the Client a) </w:t>
      </w:r>
      <w:r w:rsidR="0088587A" w:rsidRPr="00262AD1">
        <w:rPr>
          <w:color w:val="000000" w:themeColor="text1"/>
        </w:rPr>
        <w:t>The Client</w:t>
      </w:r>
      <w:r w:rsidR="000B1031">
        <w:rPr>
          <w:color w:val="000000" w:themeColor="text1"/>
        </w:rPr>
        <w:t xml:space="preserve"> </w:t>
      </w:r>
      <w:r w:rsidR="0088587A" w:rsidRPr="00262AD1">
        <w:rPr>
          <w:color w:val="000000" w:themeColor="text1"/>
        </w:rPr>
        <w:t>may assign, transfer or charge all or any of its rights to any person without the Consultant's consent</w:t>
      </w:r>
      <w:r w:rsidR="000B1031">
        <w:rPr>
          <w:color w:val="000000" w:themeColor="text1"/>
        </w:rPr>
        <w:t xml:space="preserve"> (clause 10.2)</w:t>
      </w:r>
      <w:r w:rsidR="0088587A" w:rsidRPr="00262AD1">
        <w:rPr>
          <w:color w:val="000000" w:themeColor="text1"/>
        </w:rPr>
        <w:t>,</w:t>
      </w:r>
      <w:r w:rsidR="000B1031">
        <w:rPr>
          <w:color w:val="000000" w:themeColor="text1"/>
        </w:rPr>
        <w:t xml:space="preserve"> or b) </w:t>
      </w:r>
      <w:r w:rsidR="000B1031" w:rsidRPr="00262AD1">
        <w:rPr>
          <w:color w:val="000000" w:themeColor="text1"/>
        </w:rPr>
        <w:t>The Client</w:t>
      </w:r>
      <w:r w:rsidR="000B1031">
        <w:rPr>
          <w:color w:val="000000" w:themeColor="text1"/>
        </w:rPr>
        <w:t xml:space="preserve"> </w:t>
      </w:r>
      <w:r w:rsidR="000B1031" w:rsidRPr="00262AD1">
        <w:rPr>
          <w:color w:val="000000" w:themeColor="text1"/>
        </w:rPr>
        <w:t>may assign, transfer or charge all or any of its rights to any person without the Consultant's consent</w:t>
      </w:r>
      <w:r w:rsidR="0088587A" w:rsidRPr="00262AD1">
        <w:rPr>
          <w:color w:val="000000" w:themeColor="text1"/>
        </w:rPr>
        <w:t xml:space="preserve"> subject to a cap of no more than two such assignments (although assignments to group companies, subsidiaries, associated companies or by way of security to a funder (or by way of re-assignment on redemption) do not count towards that cap)</w:t>
      </w:r>
      <w:r w:rsidR="000B1031">
        <w:rPr>
          <w:color w:val="000000" w:themeColor="text1"/>
        </w:rPr>
        <w:t xml:space="preserve"> (clause s10.3 and 10.4)</w:t>
      </w:r>
      <w:r w:rsidR="0088587A" w:rsidRPr="00262AD1">
        <w:rPr>
          <w:color w:val="000000" w:themeColor="text1"/>
        </w:rPr>
        <w:t>. The Consultant may not sub-contract any of its obligations without the Client's prior written consent, both as to the principle of sub-contracting and the identity of the proposed sub-contractor, and it remains fully responsible for the performance of any sub-contracted obligations regardless of the care it exercises in selecting the sub-contractor</w:t>
      </w:r>
      <w:bookmarkEnd w:id="6"/>
      <w:r w:rsidRPr="00262AD1">
        <w:rPr>
          <w:color w:val="000000" w:themeColor="text1"/>
        </w:rPr>
        <w:t>.</w:t>
      </w:r>
    </w:p>
    <w:p w14:paraId="2C2FDD71" w14:textId="77777777" w:rsidR="00800894" w:rsidRPr="00262AD1" w:rsidRDefault="00800894" w:rsidP="000719FC">
      <w:pPr>
        <w:pStyle w:val="BBBodyTextIndent1"/>
        <w:rPr>
          <w:b/>
          <w:bCs/>
          <w:color w:val="000000" w:themeColor="text1"/>
        </w:rPr>
      </w:pPr>
      <w:r w:rsidRPr="00262AD1">
        <w:rPr>
          <w:b/>
          <w:bCs/>
          <w:color w:val="000000" w:themeColor="text1"/>
        </w:rPr>
        <w:t>Action Required:</w:t>
      </w:r>
    </w:p>
    <w:p w14:paraId="08A2F7B4" w14:textId="255B872F" w:rsidR="004C697A" w:rsidRDefault="004C697A" w:rsidP="000719FC">
      <w:pPr>
        <w:pStyle w:val="BulletNew"/>
      </w:pPr>
      <w:bookmarkStart w:id="8" w:name="_Hlk225434380"/>
      <w:r>
        <w:t>Decide whether you require the right to assign without limitation in which case you keep clause 10.2 and delete clauses 10.3 and 10.4. If you are accepting a limit on assignment, you should delete clause 10.2 and keep clauses 10.3 and 10.4 (which will become clauses 10.2 and 10.3].</w:t>
      </w:r>
    </w:p>
    <w:p w14:paraId="434EEFCC" w14:textId="03DA5216" w:rsidR="00800894" w:rsidRPr="00262AD1" w:rsidRDefault="0088587A" w:rsidP="000719FC">
      <w:pPr>
        <w:pStyle w:val="BulletNew"/>
      </w:pPr>
      <w:r w:rsidRPr="00262AD1">
        <w:t>Confirm the number of permitted Client assignments (the Template suggests two) and update if required</w:t>
      </w:r>
      <w:r w:rsidR="000B1031">
        <w:t xml:space="preserve">. Carve outs to and from a funder and to a group company should be carved out. </w:t>
      </w:r>
    </w:p>
    <w:bookmarkEnd w:id="8"/>
    <w:p w14:paraId="2AB5DCF2" w14:textId="4E8B2AF0" w:rsidR="00800894" w:rsidRPr="00262AD1" w:rsidRDefault="00800894" w:rsidP="000719FC">
      <w:pPr>
        <w:pStyle w:val="BBBodyTextIndent1"/>
        <w:rPr>
          <w:b/>
          <w:bCs/>
          <w:color w:val="000000" w:themeColor="text1"/>
        </w:rPr>
      </w:pPr>
      <w:r w:rsidRPr="00262AD1">
        <w:rPr>
          <w:b/>
          <w:bCs/>
          <w:color w:val="000000" w:themeColor="text1"/>
        </w:rPr>
        <w:t>Guidance for CEG:</w:t>
      </w:r>
      <w:r w:rsidR="0088587A" w:rsidRPr="00262AD1">
        <w:rPr>
          <w:b/>
          <w:bCs/>
          <w:color w:val="000000" w:themeColor="text1"/>
        </w:rPr>
        <w:t xml:space="preserve"> </w:t>
      </w:r>
      <w:r w:rsidR="0088587A" w:rsidRPr="00262AD1">
        <w:rPr>
          <w:szCs w:val="22"/>
        </w:rPr>
        <w:t xml:space="preserve">The asymmetry in this clause is intentional and commercially significant </w:t>
      </w:r>
      <w:r w:rsidR="00E27181" w:rsidRPr="00262AD1">
        <w:rPr>
          <w:szCs w:val="22"/>
        </w:rPr>
        <w:t>-</w:t>
      </w:r>
      <w:r w:rsidR="0088587A" w:rsidRPr="00262AD1">
        <w:rPr>
          <w:szCs w:val="22"/>
        </w:rPr>
        <w:t xml:space="preserve"> the Client retains broad freedom to deal with its interest in the Agreement (including transferring it to a funder or a group company) whilst the Consultant's ability to transfer its obligations is tightly controlled. The carve-out for assignments by way of security to a funder is particularly important in a project finance context, as it ensures the Client can grant a funder security over the Agreement without needing the </w:t>
      </w:r>
      <w:r w:rsidR="0088587A" w:rsidRPr="00262AD1">
        <w:rPr>
          <w:szCs w:val="22"/>
        </w:rPr>
        <w:lastRenderedPageBreak/>
        <w:t xml:space="preserve">Consultant's consent each time. The Consultant is required to warrant that any assignee of the Client's rights will not be prevented from recovering losses arising from the Consultant's breach </w:t>
      </w:r>
      <w:r w:rsidR="000B1031">
        <w:rPr>
          <w:szCs w:val="22"/>
        </w:rPr>
        <w:t>because they are an assignee. This wording is included to prevent a ‘no loss’ argument, whereby parties have historically tried to argue that they should not be liable to an assignee for the losses the assignee experienced because the original contracting entity has since left the project and not suffered any losses</w:t>
      </w:r>
      <w:r w:rsidR="0088587A" w:rsidRPr="00262AD1">
        <w:rPr>
          <w:szCs w:val="22"/>
        </w:rPr>
        <w:t>.</w:t>
      </w:r>
    </w:p>
    <w:bookmarkEnd w:id="7"/>
    <w:p w14:paraId="1DEA0AA8" w14:textId="2FA695A5" w:rsidR="00800894" w:rsidRPr="00BD3630" w:rsidRDefault="00800894" w:rsidP="000719FC">
      <w:pPr>
        <w:pStyle w:val="BBHeading2"/>
      </w:pPr>
      <w:r w:rsidRPr="00BD3630">
        <w:t>Clause 11: Rights of Third Parties</w:t>
      </w:r>
      <w:r w:rsidR="003F08F7" w:rsidRPr="00BD3630">
        <w:t xml:space="preserve"> </w:t>
      </w:r>
      <w:r w:rsidR="003F08F7" w:rsidRPr="00BD3630">
        <w:rPr>
          <w:color w:val="FF0000"/>
        </w:rPr>
        <w:t>COMMONLY NEGOTIATED</w:t>
      </w:r>
    </w:p>
    <w:p w14:paraId="367D04B1" w14:textId="6C901791" w:rsidR="00800894" w:rsidRDefault="00E27181" w:rsidP="000719FC">
      <w:pPr>
        <w:pStyle w:val="BBBodyTextIndent1"/>
        <w:rPr>
          <w:szCs w:val="22"/>
        </w:rPr>
      </w:pPr>
      <w:bookmarkStart w:id="9" w:name="_Hlk225160208"/>
      <w:r w:rsidRPr="00262AD1">
        <w:rPr>
          <w:b/>
          <w:bCs/>
          <w:szCs w:val="22"/>
        </w:rPr>
        <w:t>Purpose:</w:t>
      </w:r>
      <w:r w:rsidRPr="00262AD1">
        <w:rPr>
          <w:szCs w:val="22"/>
        </w:rPr>
        <w:t xml:space="preserve"> </w:t>
      </w:r>
      <w:r w:rsidR="006A1388" w:rsidRPr="006A1388">
        <w:rPr>
          <w:szCs w:val="22"/>
        </w:rPr>
        <w:t xml:space="preserve">This clause excludes third party enforcement rights under the Contracts (Rights of Third Parties) Act 1999 entirely, </w:t>
      </w:r>
      <w:r w:rsidR="00ED1671">
        <w:rPr>
          <w:szCs w:val="22"/>
        </w:rPr>
        <w:tab/>
        <w:t xml:space="preserve">with the option of including </w:t>
      </w:r>
      <w:r w:rsidR="006A1388" w:rsidRPr="006A1388">
        <w:rPr>
          <w:szCs w:val="22"/>
        </w:rPr>
        <w:t xml:space="preserve">one express exception: the Original Client and any associated person or associate within the meaning of the Building Safety Act 2022 </w:t>
      </w:r>
      <w:r w:rsidR="00ED1671">
        <w:rPr>
          <w:szCs w:val="22"/>
        </w:rPr>
        <w:t xml:space="preserve">who </w:t>
      </w:r>
      <w:r w:rsidR="006A1388" w:rsidRPr="006A1388">
        <w:rPr>
          <w:szCs w:val="22"/>
        </w:rPr>
        <w:t>may enforce the provisions of Schedule 5 (Schedule of Third Party Rights to be Provided by a Professional Consultant)</w:t>
      </w:r>
      <w:r w:rsidR="006A1388">
        <w:rPr>
          <w:szCs w:val="22"/>
        </w:rPr>
        <w:t xml:space="preserve"> </w:t>
      </w:r>
      <w:r w:rsidR="006A1388" w:rsidRPr="006A1388">
        <w:rPr>
          <w:szCs w:val="22"/>
        </w:rPr>
        <w:t>directly against the Consultant.</w:t>
      </w:r>
    </w:p>
    <w:p w14:paraId="5BA05A0E" w14:textId="77777777" w:rsidR="00970C8A" w:rsidRPr="00262AD1" w:rsidRDefault="00970C8A" w:rsidP="00970C8A">
      <w:pPr>
        <w:pStyle w:val="BBBodyTextIndent1"/>
        <w:rPr>
          <w:b/>
          <w:bCs/>
          <w:color w:val="000000" w:themeColor="text1"/>
        </w:rPr>
      </w:pPr>
      <w:r w:rsidRPr="00262AD1">
        <w:rPr>
          <w:b/>
          <w:bCs/>
          <w:color w:val="000000" w:themeColor="text1"/>
        </w:rPr>
        <w:t>Action Required:</w:t>
      </w:r>
    </w:p>
    <w:p w14:paraId="27FD34E6" w14:textId="22975F5E" w:rsidR="00970C8A" w:rsidRDefault="00970C8A" w:rsidP="00970C8A">
      <w:pPr>
        <w:pStyle w:val="BulletNew"/>
      </w:pPr>
      <w:r>
        <w:t>Decide if you want to include third party rights for the Original Client</w:t>
      </w:r>
      <w:r w:rsidR="00ED1671">
        <w:t xml:space="preserve"> and any of their associated persons. </w:t>
      </w:r>
    </w:p>
    <w:p w14:paraId="16EC2C76" w14:textId="5EE2924F" w:rsidR="003F08F7" w:rsidRDefault="003F08F7" w:rsidP="00970C8A">
      <w:pPr>
        <w:pStyle w:val="BulletNew"/>
      </w:pPr>
      <w:r>
        <w:t>If you do not want to include it, delete clause 11.1 and the wording in square brackets at the start of clause 11.2. You will also need to delete the Schedule of Third Pary Rights at Schedule 5 and insert ‘Not Used’.</w:t>
      </w:r>
    </w:p>
    <w:p w14:paraId="5F7D4750" w14:textId="1003D0B8" w:rsidR="003F08F7" w:rsidRPr="00262AD1" w:rsidRDefault="003F08F7" w:rsidP="00970C8A">
      <w:pPr>
        <w:pStyle w:val="BulletNew"/>
      </w:pPr>
      <w:bookmarkStart w:id="10" w:name="_Hlk225163298"/>
      <w:r>
        <w:t xml:space="preserve">If you want to include it, please remove the square brackets. </w:t>
      </w:r>
    </w:p>
    <w:bookmarkEnd w:id="10"/>
    <w:p w14:paraId="0F7E4261" w14:textId="61ED4029" w:rsidR="00970C8A" w:rsidRPr="00262AD1" w:rsidRDefault="00970C8A" w:rsidP="000719FC">
      <w:pPr>
        <w:pStyle w:val="BBBodyTextIndent1"/>
        <w:rPr>
          <w:color w:val="000000" w:themeColor="text1"/>
        </w:rPr>
      </w:pPr>
      <w:r w:rsidRPr="00262AD1">
        <w:rPr>
          <w:b/>
          <w:bCs/>
          <w:color w:val="000000" w:themeColor="text1"/>
        </w:rPr>
        <w:t>Guidance for CEG:</w:t>
      </w:r>
      <w:r w:rsidR="00063385" w:rsidRPr="00063385">
        <w:t xml:space="preserve"> </w:t>
      </w:r>
      <w:r w:rsidR="00063385">
        <w:t xml:space="preserve">The Building Safety Act </w:t>
      </w:r>
      <w:r w:rsidR="003F08F7">
        <w:t xml:space="preserve">2022 </w:t>
      </w:r>
      <w:r w:rsidR="00063385">
        <w:t>has extended the period in which parties can bring a claim from 12 to 15 years in relation to certain obligations. In a scenario in which the Original Client has sold the site, the Building Safety Regulator may still be able to pursue the Original Client (and may pierce the corporate veil and pursue a group company of the Original Client if the Original Client is unable to pay), which is why some clients like to include an automatic set of Thid Party Rights which are given to the Original Client</w:t>
      </w:r>
      <w:r w:rsidR="003F08F7">
        <w:t xml:space="preserve"> (or their associated persons for the purposes of the Building Safety Act 2022)</w:t>
      </w:r>
      <w:r w:rsidR="00063385">
        <w:t xml:space="preserve"> and allow them the ability to make a claim against the consultant</w:t>
      </w:r>
      <w:r w:rsidR="003F08F7">
        <w:t xml:space="preserve">. This legislation is quite new still and there is not a standard market position here </w:t>
      </w:r>
      <w:proofErr w:type="gramStart"/>
      <w:r w:rsidR="003F08F7">
        <w:t>yet</w:t>
      </w:r>
      <w:proofErr w:type="gramEnd"/>
      <w:r w:rsidR="003F08F7">
        <w:t xml:space="preserve"> but what we have provided is not unusual in the market.</w:t>
      </w:r>
      <w:bookmarkEnd w:id="9"/>
      <w:r w:rsidR="003F08F7">
        <w:t xml:space="preserve"> </w:t>
      </w:r>
    </w:p>
    <w:p w14:paraId="7529DB8E" w14:textId="77777777" w:rsidR="00800894" w:rsidRPr="00BD3630" w:rsidRDefault="00800894" w:rsidP="000719FC">
      <w:pPr>
        <w:pStyle w:val="BBHeading2"/>
      </w:pPr>
      <w:r w:rsidRPr="00BD3630">
        <w:t xml:space="preserve">Clause 12: Time for Performance </w:t>
      </w:r>
      <w:r w:rsidRPr="00BD3630">
        <w:rPr>
          <w:color w:val="FF0000"/>
        </w:rPr>
        <w:t>COMMONLY NEGOTIATED</w:t>
      </w:r>
    </w:p>
    <w:p w14:paraId="61D8D969" w14:textId="7DF125FE" w:rsidR="00800894" w:rsidRPr="00262AD1" w:rsidRDefault="00800894" w:rsidP="000719FC">
      <w:pPr>
        <w:pStyle w:val="BBBodyTextIndent1"/>
        <w:rPr>
          <w:color w:val="000000" w:themeColor="text1"/>
        </w:rPr>
      </w:pPr>
      <w:r w:rsidRPr="00262AD1">
        <w:rPr>
          <w:b/>
          <w:bCs/>
          <w:color w:val="000000" w:themeColor="text1"/>
        </w:rPr>
        <w:t>Purpose:</w:t>
      </w:r>
      <w:r w:rsidRPr="00262AD1">
        <w:rPr>
          <w:color w:val="000000" w:themeColor="text1"/>
        </w:rPr>
        <w:t xml:space="preserve"> </w:t>
      </w:r>
      <w:r w:rsidR="00E27181" w:rsidRPr="00262AD1">
        <w:rPr>
          <w:color w:val="000000" w:themeColor="text1"/>
        </w:rPr>
        <w:t>This clause requires the Consultant to proceed with the Services regularly, diligently and in accordance with the Project Programme. It also addresses what happens if the Consultant is delayed and the Client's rights where the Consultant fails to comply with the Programme.</w:t>
      </w:r>
    </w:p>
    <w:p w14:paraId="6B5FFA79" w14:textId="77777777" w:rsidR="00800894" w:rsidRPr="00262AD1" w:rsidRDefault="00800894" w:rsidP="000719FC">
      <w:pPr>
        <w:pStyle w:val="BBBodyTextIndent1"/>
        <w:rPr>
          <w:b/>
          <w:bCs/>
          <w:color w:val="000000" w:themeColor="text1"/>
        </w:rPr>
      </w:pPr>
      <w:r w:rsidRPr="00262AD1">
        <w:rPr>
          <w:b/>
          <w:bCs/>
          <w:color w:val="000000" w:themeColor="text1"/>
        </w:rPr>
        <w:t>Guidance for CEG:</w:t>
      </w:r>
    </w:p>
    <w:p w14:paraId="2D00FED4" w14:textId="3B4F6898" w:rsidR="00E27181" w:rsidRPr="00262AD1" w:rsidRDefault="00E27181" w:rsidP="000719FC">
      <w:pPr>
        <w:spacing w:before="240" w:after="240"/>
        <w:ind w:firstLine="720"/>
        <w:jc w:val="both"/>
        <w:rPr>
          <w:sz w:val="22"/>
          <w:szCs w:val="22"/>
        </w:rPr>
      </w:pPr>
      <w:r w:rsidRPr="00262AD1">
        <w:rPr>
          <w:sz w:val="22"/>
          <w:szCs w:val="22"/>
        </w:rPr>
        <w:t xml:space="preserve">Overall, the primary risk of delay is on the Consultant: </w:t>
      </w:r>
    </w:p>
    <w:p w14:paraId="4482B687" w14:textId="4C36F9A9" w:rsidR="00E27181" w:rsidRPr="00262AD1" w:rsidRDefault="00E27181" w:rsidP="000719FC">
      <w:pPr>
        <w:pStyle w:val="BulletNew"/>
      </w:pPr>
      <w:r w:rsidRPr="00262AD1">
        <w:t xml:space="preserve">The consequences of non-compliance with the Programme are deliberately onerous for the Consultant. Where the Consultant falls behind, it must use its best endeavours </w:t>
      </w:r>
      <w:r w:rsidR="00DF1377">
        <w:t>-</w:t>
      </w:r>
      <w:r w:rsidRPr="00262AD1">
        <w:t xml:space="preserve"> including deploying additional personnel and resources, and accelerating performance entirely at its own cost </w:t>
      </w:r>
      <w:r w:rsidR="00DF1377">
        <w:t>-</w:t>
      </w:r>
      <w:r w:rsidRPr="00262AD1">
        <w:t xml:space="preserve"> to recover the </w:t>
      </w:r>
      <w:proofErr w:type="gramStart"/>
      <w:r w:rsidRPr="00262AD1">
        <w:t>position;</w:t>
      </w:r>
      <w:proofErr w:type="gramEnd"/>
      <w:r w:rsidRPr="00262AD1">
        <w:t xml:space="preserve"> </w:t>
      </w:r>
    </w:p>
    <w:p w14:paraId="65A11FB3" w14:textId="576420AC" w:rsidR="00E27181" w:rsidRPr="00262AD1" w:rsidRDefault="00E27181" w:rsidP="000719FC">
      <w:pPr>
        <w:pStyle w:val="BulletNew"/>
      </w:pPr>
      <w:r w:rsidRPr="00262AD1">
        <w:t xml:space="preserve">Programme adjustments are at the Client's discretion, not the Consultant's. Even where a delay arises from a cause beyond the Consultant's control, the Client merely </w:t>
      </w:r>
      <w:r w:rsidRPr="00262AD1">
        <w:lastRenderedPageBreak/>
        <w:t xml:space="preserve">"may" adjust the Programme </w:t>
      </w:r>
      <w:r w:rsidR="00DF1377">
        <w:t>-</w:t>
      </w:r>
      <w:r w:rsidRPr="00262AD1">
        <w:t xml:space="preserve"> there is no automatic entitlement. This gives you meaningful leverage to hold the Consultant to its original programme where the circumstances do not clearly warrant an extension; and </w:t>
      </w:r>
    </w:p>
    <w:p w14:paraId="435046BE" w14:textId="740928AA" w:rsidR="00800894" w:rsidRPr="00262AD1" w:rsidRDefault="00E27181" w:rsidP="000719FC">
      <w:pPr>
        <w:pStyle w:val="BulletNew"/>
      </w:pPr>
      <w:r w:rsidRPr="00262AD1">
        <w:t xml:space="preserve">The fee adjustment mechanism in clause 12.6 is </w:t>
      </w:r>
      <w:r w:rsidR="003F08F7">
        <w:t>a</w:t>
      </w:r>
      <w:r w:rsidRPr="00262AD1">
        <w:t xml:space="preserve"> practically important provision. Where the Consultant is delayed for reasons beyond its control, the Client can push back the milestone dates on which the Consultant is entitled to invoice for its fee. This prevents the Consultant from claiming instalments of its fee in advance of the work to which those instalments relate </w:t>
      </w:r>
      <w:proofErr w:type="gramStart"/>
      <w:r w:rsidRPr="00262AD1">
        <w:t>actually being</w:t>
      </w:r>
      <w:proofErr w:type="gramEnd"/>
      <w:r w:rsidRPr="00262AD1">
        <w:t xml:space="preserve"> carried out</w:t>
      </w:r>
      <w:r w:rsidR="00800894" w:rsidRPr="00262AD1">
        <w:t>.</w:t>
      </w:r>
    </w:p>
    <w:p w14:paraId="79B6CDF9" w14:textId="34A0F78F" w:rsidR="00800894" w:rsidRPr="00262AD1" w:rsidRDefault="00800894" w:rsidP="000719FC">
      <w:pPr>
        <w:pStyle w:val="BBHeading2"/>
      </w:pPr>
      <w:r w:rsidRPr="00262AD1">
        <w:t>Clause</w:t>
      </w:r>
      <w:r w:rsidR="00B066EA" w:rsidRPr="00262AD1">
        <w:t>s</w:t>
      </w:r>
      <w:r w:rsidRPr="00262AD1">
        <w:t xml:space="preserve"> 13</w:t>
      </w:r>
      <w:r w:rsidR="00B066EA" w:rsidRPr="00262AD1">
        <w:t>-15</w:t>
      </w:r>
      <w:r w:rsidRPr="00262AD1">
        <w:t>: Suspension and Termination of Consultant's Engagement</w:t>
      </w:r>
      <w:r w:rsidR="00B066EA" w:rsidRPr="00262AD1">
        <w:t xml:space="preserve"> and Consequences</w:t>
      </w:r>
    </w:p>
    <w:p w14:paraId="7508B952" w14:textId="51464BF9" w:rsidR="00800894" w:rsidRPr="00262AD1" w:rsidRDefault="00800894" w:rsidP="000719FC">
      <w:pPr>
        <w:pStyle w:val="BBBodyTextIndent1"/>
        <w:rPr>
          <w:color w:val="000000" w:themeColor="text1"/>
        </w:rPr>
      </w:pPr>
      <w:r w:rsidRPr="00262AD1">
        <w:rPr>
          <w:b/>
          <w:bCs/>
          <w:color w:val="000000" w:themeColor="text1"/>
        </w:rPr>
        <w:t>Purpose:</w:t>
      </w:r>
      <w:r w:rsidRPr="00262AD1">
        <w:rPr>
          <w:color w:val="000000" w:themeColor="text1"/>
        </w:rPr>
        <w:t xml:space="preserve"> </w:t>
      </w:r>
      <w:r w:rsidR="00B066EA" w:rsidRPr="00262AD1">
        <w:rPr>
          <w:color w:val="000000" w:themeColor="text1"/>
        </w:rPr>
        <w:t>These clauses govern the circumstances in which either party may suspend or terminate the Consultant's engagement before completion of the Services, including both for convenience and for cause, and set out the financial and practical consequences that follow. The Client bears the broader termination rights, including a general convenience right and a series of immediate termination triggers; the Consultant's termination right is limited to circumstances of Client default</w:t>
      </w:r>
      <w:r w:rsidR="006E43E7">
        <w:rPr>
          <w:color w:val="000000" w:themeColor="text1"/>
        </w:rPr>
        <w:t>, which in practical terms will generally be linked to failure to pay</w:t>
      </w:r>
      <w:r w:rsidR="00B066EA" w:rsidRPr="00262AD1">
        <w:rPr>
          <w:color w:val="000000" w:themeColor="text1"/>
        </w:rPr>
        <w:t>.</w:t>
      </w:r>
    </w:p>
    <w:p w14:paraId="6ABA8655" w14:textId="77777777" w:rsidR="00800894" w:rsidRPr="00262AD1" w:rsidRDefault="00800894" w:rsidP="000719FC">
      <w:pPr>
        <w:pStyle w:val="BBBodyTextIndent1"/>
        <w:rPr>
          <w:b/>
          <w:bCs/>
          <w:color w:val="000000" w:themeColor="text1"/>
        </w:rPr>
      </w:pPr>
      <w:r w:rsidRPr="00262AD1">
        <w:rPr>
          <w:b/>
          <w:bCs/>
          <w:color w:val="000000" w:themeColor="text1"/>
        </w:rPr>
        <w:t>Action Required:</w:t>
      </w:r>
    </w:p>
    <w:p w14:paraId="10C05B59" w14:textId="558F682F" w:rsidR="00800894" w:rsidRPr="00262AD1" w:rsidRDefault="00B066EA" w:rsidP="000719FC">
      <w:pPr>
        <w:pStyle w:val="BulletNew"/>
      </w:pPr>
      <w:r w:rsidRPr="00262AD1">
        <w:t>Complete the bracketed text in clause 13.4.4 to confirm the Consultant's appointment type under the Building Regulations</w:t>
      </w:r>
      <w:r w:rsidR="00800894" w:rsidRPr="00262AD1">
        <w:t>.</w:t>
      </w:r>
    </w:p>
    <w:p w14:paraId="074CF06F" w14:textId="40E0DD85" w:rsidR="00800894" w:rsidRPr="00B96DBB" w:rsidRDefault="00800894" w:rsidP="000719FC">
      <w:pPr>
        <w:pStyle w:val="BBBodyTextIndent1"/>
        <w:rPr>
          <w:color w:val="000000" w:themeColor="text1"/>
        </w:rPr>
      </w:pPr>
      <w:r w:rsidRPr="00262AD1">
        <w:rPr>
          <w:b/>
          <w:bCs/>
          <w:color w:val="000000" w:themeColor="text1"/>
        </w:rPr>
        <w:t>Guidance for CEG:</w:t>
      </w:r>
      <w:r w:rsidR="00B96DBB">
        <w:rPr>
          <w:b/>
          <w:bCs/>
          <w:color w:val="000000" w:themeColor="text1"/>
        </w:rPr>
        <w:t xml:space="preserve"> </w:t>
      </w:r>
      <w:r w:rsidR="00B96DBB">
        <w:rPr>
          <w:color w:val="000000" w:themeColor="text1"/>
        </w:rPr>
        <w:t xml:space="preserve">The termination rights differ between the parties: </w:t>
      </w:r>
    </w:p>
    <w:p w14:paraId="0E16A898" w14:textId="2112544E" w:rsidR="00B066EA" w:rsidRPr="00262AD1" w:rsidRDefault="00B066EA" w:rsidP="000719FC">
      <w:pPr>
        <w:pStyle w:val="BulletNew"/>
      </w:pPr>
      <w:r w:rsidRPr="00262AD1">
        <w:t xml:space="preserve">Client-initiated termination: The Client's convenience termination right (clause 13.1) is a broad and important commercial protection, but it is not cost-free </w:t>
      </w:r>
      <w:r w:rsidR="00DF1377">
        <w:t>-</w:t>
      </w:r>
      <w:r w:rsidRPr="00262AD1">
        <w:t xml:space="preserve"> the Client remains liable to pay the Consultant a fair value of work done to the termination date. Before exercising this right, ensure you understand the financial consequences and that the payment process under clause 15 is properly managed.</w:t>
      </w:r>
    </w:p>
    <w:p w14:paraId="5AF06FBE" w14:textId="1C202B06" w:rsidR="00B066EA" w:rsidRPr="00262AD1" w:rsidRDefault="00B066EA" w:rsidP="000719FC">
      <w:pPr>
        <w:pStyle w:val="BulletNew"/>
      </w:pPr>
      <w:r w:rsidRPr="00262AD1">
        <w:t xml:space="preserve">Consultant-initiated termination: The Consultant has no convenience termination right. However, persistent non-payment or any other material Client breach may entitle the Consultant to terminate. Ensure all payment obligations under Schedule 2 are met on </w:t>
      </w:r>
      <w:proofErr w:type="gramStart"/>
      <w:r w:rsidRPr="00262AD1">
        <w:t>time, and</w:t>
      </w:r>
      <w:proofErr w:type="gramEnd"/>
      <w:r w:rsidRPr="00262AD1">
        <w:t xml:space="preserve"> seek legal advice immediately upon receipt of any notice under clause 14.2</w:t>
      </w:r>
      <w:r w:rsidR="00B20F06" w:rsidRPr="00262AD1">
        <w:t xml:space="preserve"> as there is only a </w:t>
      </w:r>
      <w:r w:rsidRPr="00262AD1">
        <w:t>28-day cure period.</w:t>
      </w:r>
    </w:p>
    <w:p w14:paraId="6785A117" w14:textId="3E249C98" w:rsidR="00800894" w:rsidRPr="00262AD1" w:rsidRDefault="00B066EA" w:rsidP="000719FC">
      <w:pPr>
        <w:pStyle w:val="BulletNew"/>
      </w:pPr>
      <w:r w:rsidRPr="00262AD1">
        <w:t xml:space="preserve">Consequences: The amount payable upon termination or suspension is full and final settlement of the Client's fee obligations </w:t>
      </w:r>
      <w:r w:rsidR="00DF1377">
        <w:t>-</w:t>
      </w:r>
      <w:r w:rsidRPr="00262AD1">
        <w:t xml:space="preserve"> the Consultant cannot claim loss of profit or consequential losses. However, pre-termination claims (including professional negligence claims) are preserved by both parties and should be identified and secured regardless of the basis on which the appointment ends.</w:t>
      </w:r>
    </w:p>
    <w:p w14:paraId="50DCE04B" w14:textId="77777777" w:rsidR="00800894" w:rsidRPr="00262AD1" w:rsidRDefault="00800894" w:rsidP="000719FC">
      <w:pPr>
        <w:pStyle w:val="BBHeading2"/>
      </w:pPr>
      <w:r w:rsidRPr="00262AD1">
        <w:t>Clause 16: Liability Period</w:t>
      </w:r>
    </w:p>
    <w:p w14:paraId="4495779C" w14:textId="65516FD6" w:rsidR="00800894" w:rsidRPr="00262AD1" w:rsidRDefault="00800894" w:rsidP="000719FC">
      <w:pPr>
        <w:pStyle w:val="BBBodyTextIndent1"/>
        <w:rPr>
          <w:color w:val="000000" w:themeColor="text1"/>
        </w:rPr>
      </w:pPr>
      <w:r w:rsidRPr="00262AD1">
        <w:rPr>
          <w:b/>
          <w:bCs/>
          <w:color w:val="000000" w:themeColor="text1"/>
        </w:rPr>
        <w:t>Purpose:</w:t>
      </w:r>
      <w:r w:rsidRPr="00262AD1">
        <w:rPr>
          <w:color w:val="000000" w:themeColor="text1"/>
        </w:rPr>
        <w:t xml:space="preserve"> </w:t>
      </w:r>
      <w:r w:rsidR="00B20F06" w:rsidRPr="00262AD1">
        <w:rPr>
          <w:color w:val="000000" w:themeColor="text1"/>
        </w:rPr>
        <w:t>This clause establishes the time limits within which claims may be brought under the Agreement, creating a two-tier limitation structure that reflects both the standard contractual position and the extended obligations arising under the Building Safety Laws</w:t>
      </w:r>
      <w:r w:rsidRPr="00262AD1">
        <w:rPr>
          <w:color w:val="000000" w:themeColor="text1"/>
        </w:rPr>
        <w:t>.</w:t>
      </w:r>
    </w:p>
    <w:p w14:paraId="351A77C2" w14:textId="77777777" w:rsidR="00800894" w:rsidRPr="00262AD1" w:rsidRDefault="00800894" w:rsidP="00750122">
      <w:pPr>
        <w:pStyle w:val="BBBodyTextIndent1"/>
        <w:keepNext/>
        <w:rPr>
          <w:b/>
          <w:bCs/>
          <w:color w:val="000000" w:themeColor="text1"/>
        </w:rPr>
      </w:pPr>
      <w:r w:rsidRPr="00262AD1">
        <w:rPr>
          <w:b/>
          <w:bCs/>
          <w:color w:val="000000" w:themeColor="text1"/>
        </w:rPr>
        <w:lastRenderedPageBreak/>
        <w:t>Action Required:</w:t>
      </w:r>
    </w:p>
    <w:p w14:paraId="53713062" w14:textId="314B50BB" w:rsidR="00800894" w:rsidRPr="00262AD1" w:rsidRDefault="00BC123B" w:rsidP="000719FC">
      <w:pPr>
        <w:pStyle w:val="BulletNew"/>
      </w:pPr>
      <w:r w:rsidRPr="00262AD1">
        <w:t>Review and complete or delete (as appropriate) the optional bracketed wording in clause 16.2 concerning the alternative longstop date for Building Safety Laws claims</w:t>
      </w:r>
      <w:r w:rsidR="00B96DBB">
        <w:t xml:space="preserve"> (see guidance below).</w:t>
      </w:r>
    </w:p>
    <w:p w14:paraId="4C411761" w14:textId="73D8F701" w:rsidR="008D1C25" w:rsidRPr="00262AD1" w:rsidRDefault="00800894" w:rsidP="000719FC">
      <w:pPr>
        <w:pStyle w:val="BBBodyTextIndent1"/>
        <w:rPr>
          <w:color w:val="000000" w:themeColor="text1"/>
        </w:rPr>
      </w:pPr>
      <w:r w:rsidRPr="00262AD1">
        <w:rPr>
          <w:b/>
          <w:bCs/>
          <w:color w:val="000000" w:themeColor="text1"/>
        </w:rPr>
        <w:t>Guidance for CEG</w:t>
      </w:r>
      <w:r w:rsidRPr="00262AD1">
        <w:rPr>
          <w:color w:val="000000" w:themeColor="text1"/>
        </w:rPr>
        <w:t xml:space="preserve">: </w:t>
      </w:r>
      <w:r w:rsidR="00BC123B" w:rsidRPr="00262AD1">
        <w:rPr>
          <w:color w:val="000000" w:themeColor="text1"/>
        </w:rPr>
        <w:t>The two-tier structure here is commercially significant: the standard 12-year period (running from practical completion of the Works) applies to the generality of claims under the Agreement; the extended 15-year period applies specifically to claims relating to the Consultant's Building Safety Laws obligations under clause 3.8. This reflects the</w:t>
      </w:r>
      <w:r w:rsidR="008D1C25" w:rsidRPr="00262AD1">
        <w:rPr>
          <w:color w:val="000000" w:themeColor="text1"/>
        </w:rPr>
        <w:t xml:space="preserve"> </w:t>
      </w:r>
      <w:r w:rsidR="006E43E7">
        <w:rPr>
          <w:color w:val="000000" w:themeColor="text1"/>
        </w:rPr>
        <w:t>extended liability period for such claims under the Building Safety Act 2022</w:t>
      </w:r>
      <w:r w:rsidR="00BC123B" w:rsidRPr="00262AD1">
        <w:rPr>
          <w:color w:val="000000" w:themeColor="text1"/>
        </w:rPr>
        <w:t>.</w:t>
      </w:r>
      <w:r w:rsidR="008D1C25" w:rsidRPr="00262AD1">
        <w:rPr>
          <w:color w:val="000000" w:themeColor="text1"/>
        </w:rPr>
        <w:t xml:space="preserve"> </w:t>
      </w:r>
    </w:p>
    <w:p w14:paraId="3859F073" w14:textId="71C959A4" w:rsidR="00800894" w:rsidRPr="00262AD1" w:rsidRDefault="008D1C25" w:rsidP="00750122">
      <w:pPr>
        <w:pStyle w:val="BBBodyTextIndent1"/>
        <w:rPr>
          <w:color w:val="000000" w:themeColor="text1"/>
        </w:rPr>
      </w:pPr>
      <w:r w:rsidRPr="00262AD1">
        <w:rPr>
          <w:color w:val="000000" w:themeColor="text1"/>
        </w:rPr>
        <w:t>T</w:t>
      </w:r>
      <w:r w:rsidR="00BC123B" w:rsidRPr="00262AD1">
        <w:rPr>
          <w:color w:val="000000" w:themeColor="text1"/>
        </w:rPr>
        <w:t>he limitation period in the collateral warranties (Schedule</w:t>
      </w:r>
      <w:r w:rsidR="00B96DBB">
        <w:rPr>
          <w:color w:val="000000" w:themeColor="text1"/>
        </w:rPr>
        <w:t xml:space="preserve"> 6</w:t>
      </w:r>
      <w:r w:rsidR="00BC123B" w:rsidRPr="00262AD1">
        <w:rPr>
          <w:color w:val="000000" w:themeColor="text1"/>
        </w:rPr>
        <w:t xml:space="preserve">) </w:t>
      </w:r>
      <w:r w:rsidRPr="00262AD1">
        <w:rPr>
          <w:color w:val="000000" w:themeColor="text1"/>
        </w:rPr>
        <w:t xml:space="preserve">needs to be </w:t>
      </w:r>
      <w:r w:rsidR="00BC123B" w:rsidRPr="00262AD1">
        <w:rPr>
          <w:color w:val="000000" w:themeColor="text1"/>
        </w:rPr>
        <w:t>consistent with clause 16</w:t>
      </w:r>
      <w:r w:rsidRPr="00262AD1">
        <w:rPr>
          <w:color w:val="000000" w:themeColor="text1"/>
        </w:rPr>
        <w:t xml:space="preserve"> – any </w:t>
      </w:r>
      <w:r w:rsidR="00BC123B" w:rsidRPr="00262AD1">
        <w:rPr>
          <w:color w:val="000000" w:themeColor="text1"/>
        </w:rPr>
        <w:t xml:space="preserve">inconsistency between the periods in the main Agreement and those in the warranties could leave gaps in a beneficiary's </w:t>
      </w:r>
      <w:r w:rsidR="00DF1377">
        <w:rPr>
          <w:color w:val="000000" w:themeColor="text1"/>
        </w:rPr>
        <w:t>-</w:t>
      </w:r>
      <w:r w:rsidR="00BC123B" w:rsidRPr="00262AD1">
        <w:rPr>
          <w:color w:val="000000" w:themeColor="text1"/>
        </w:rPr>
        <w:t xml:space="preserve"> ability to bring claims.</w:t>
      </w:r>
    </w:p>
    <w:p w14:paraId="6D6A453D" w14:textId="77777777" w:rsidR="00800894" w:rsidRPr="00262AD1" w:rsidRDefault="00800894" w:rsidP="000719FC">
      <w:pPr>
        <w:pStyle w:val="BBHeading2"/>
      </w:pPr>
      <w:r w:rsidRPr="00262AD1">
        <w:t>Clause 17: Alterations to this Agreement</w:t>
      </w:r>
    </w:p>
    <w:p w14:paraId="132CCA8E" w14:textId="5DD32FD8" w:rsidR="00800894" w:rsidRPr="00262AD1" w:rsidRDefault="00800894" w:rsidP="000719FC">
      <w:pPr>
        <w:pStyle w:val="BBBodyTextIndent1"/>
        <w:rPr>
          <w:color w:val="000000" w:themeColor="text1"/>
        </w:rPr>
      </w:pPr>
      <w:r w:rsidRPr="00262AD1">
        <w:rPr>
          <w:b/>
          <w:bCs/>
          <w:color w:val="000000" w:themeColor="text1"/>
        </w:rPr>
        <w:t>Purpose:</w:t>
      </w:r>
      <w:r w:rsidRPr="00262AD1">
        <w:rPr>
          <w:color w:val="000000" w:themeColor="text1"/>
        </w:rPr>
        <w:t xml:space="preserve"> </w:t>
      </w:r>
      <w:r w:rsidR="009721C1" w:rsidRPr="00262AD1">
        <w:rPr>
          <w:color w:val="000000" w:themeColor="text1"/>
        </w:rPr>
        <w:t>This clause requires that any additions, amendments or variations to the Agreement are valid only if they are in writing and signed by authorised representatives of both the Client and the Consultant. This ensures that changes to the Services, Fee, Programme or other key terms are formally documented, and makes clear that verbal agreements or informal emails do not vary the Agreement</w:t>
      </w:r>
      <w:r w:rsidRPr="00262AD1">
        <w:rPr>
          <w:color w:val="000000" w:themeColor="text1"/>
        </w:rPr>
        <w:t>.</w:t>
      </w:r>
    </w:p>
    <w:p w14:paraId="3863568B" w14:textId="77777777" w:rsidR="00800894" w:rsidRPr="00262AD1" w:rsidRDefault="00800894" w:rsidP="000719FC">
      <w:pPr>
        <w:pStyle w:val="BBHeading2"/>
      </w:pPr>
      <w:r w:rsidRPr="00262AD1">
        <w:t>Clause 18: Independent Enquiry</w:t>
      </w:r>
    </w:p>
    <w:p w14:paraId="3C8F71F3" w14:textId="3A19DAE3" w:rsidR="00800894" w:rsidRPr="00262AD1" w:rsidRDefault="00800894" w:rsidP="000719FC">
      <w:pPr>
        <w:pStyle w:val="BBBodyTextIndent1"/>
        <w:rPr>
          <w:color w:val="000000" w:themeColor="text1"/>
        </w:rPr>
      </w:pPr>
      <w:r w:rsidRPr="00262AD1">
        <w:rPr>
          <w:b/>
          <w:bCs/>
          <w:color w:val="000000" w:themeColor="text1"/>
        </w:rPr>
        <w:t>Purpose:</w:t>
      </w:r>
      <w:r w:rsidRPr="00262AD1">
        <w:rPr>
          <w:color w:val="000000" w:themeColor="text1"/>
        </w:rPr>
        <w:t xml:space="preserve"> </w:t>
      </w:r>
      <w:r w:rsidR="009721C1" w:rsidRPr="00262AD1">
        <w:rPr>
          <w:color w:val="000000" w:themeColor="text1"/>
        </w:rPr>
        <w:t>This clause confirms that the Consultant’s duties are not reduced or affected by any independent enquiry carried out by the Client or its advisers. It operates as a protective provision for the Client, as the Consultant remains fully responsible for its work even where the Client appoints a project manager, employer’s agent or other independent reviewer.</w:t>
      </w:r>
    </w:p>
    <w:p w14:paraId="66134B45" w14:textId="77777777" w:rsidR="00800894" w:rsidRPr="00262AD1" w:rsidRDefault="00800894" w:rsidP="000719FC">
      <w:pPr>
        <w:pStyle w:val="BBHeading2"/>
      </w:pPr>
      <w:r w:rsidRPr="00262AD1">
        <w:t>Clause 19: Conflicts of Interest, Corruption and Bribery</w:t>
      </w:r>
    </w:p>
    <w:p w14:paraId="0D3B87A9" w14:textId="75B62587" w:rsidR="00800894" w:rsidRPr="00262AD1" w:rsidRDefault="00800894" w:rsidP="000719FC">
      <w:pPr>
        <w:pStyle w:val="BBBodyTextIndent1"/>
        <w:rPr>
          <w:color w:val="000000" w:themeColor="text1"/>
        </w:rPr>
      </w:pPr>
      <w:r w:rsidRPr="00262AD1">
        <w:rPr>
          <w:b/>
          <w:bCs/>
          <w:color w:val="000000" w:themeColor="text1"/>
        </w:rPr>
        <w:t>Purpose:</w:t>
      </w:r>
      <w:r w:rsidRPr="00262AD1">
        <w:rPr>
          <w:color w:val="000000" w:themeColor="text1"/>
        </w:rPr>
        <w:t xml:space="preserve"> </w:t>
      </w:r>
      <w:r w:rsidR="00735880" w:rsidRPr="00262AD1">
        <w:rPr>
          <w:color w:val="000000" w:themeColor="text1"/>
        </w:rPr>
        <w:t xml:space="preserve"> This clause imposes proactive obligations on the Consultant to identify, disclose and manage any conflicts of interest, and prohibits it from engaging in any conduct that would constitute bribery or corruption in relation to the Agreement or the Project</w:t>
      </w:r>
      <w:r w:rsidRPr="00262AD1">
        <w:rPr>
          <w:color w:val="000000" w:themeColor="text1"/>
        </w:rPr>
        <w:t>.</w:t>
      </w:r>
    </w:p>
    <w:p w14:paraId="4A58FDE6" w14:textId="55AE0F99" w:rsidR="00735880" w:rsidRPr="00262AD1" w:rsidRDefault="00800894" w:rsidP="000719FC">
      <w:pPr>
        <w:pStyle w:val="BBBodyTextIndent1"/>
        <w:rPr>
          <w:color w:val="000000" w:themeColor="text1"/>
        </w:rPr>
      </w:pPr>
      <w:r w:rsidRPr="00262AD1">
        <w:rPr>
          <w:b/>
          <w:bCs/>
          <w:color w:val="000000" w:themeColor="text1"/>
        </w:rPr>
        <w:t>Guidance for CEG:</w:t>
      </w:r>
      <w:r w:rsidRPr="00262AD1">
        <w:rPr>
          <w:color w:val="000000" w:themeColor="text1"/>
        </w:rPr>
        <w:t xml:space="preserve"> </w:t>
      </w:r>
      <w:r w:rsidR="00735880" w:rsidRPr="00262AD1">
        <w:rPr>
          <w:color w:val="000000" w:themeColor="text1"/>
        </w:rPr>
        <w:t xml:space="preserve">The definition of Conflict of Interest is deliberately broad and extends not just to the Consultant itself but to its managers, employees, representatives and any person linked to it by control. This means a conflict arising at any level of the Consultant's organisation </w:t>
      </w:r>
      <w:r w:rsidR="00DF1377">
        <w:rPr>
          <w:color w:val="000000" w:themeColor="text1"/>
        </w:rPr>
        <w:t>-</w:t>
      </w:r>
      <w:r w:rsidR="00735880" w:rsidRPr="00262AD1">
        <w:rPr>
          <w:color w:val="000000" w:themeColor="text1"/>
        </w:rPr>
        <w:t xml:space="preserve"> not just at partner or director level </w:t>
      </w:r>
      <w:r w:rsidR="00DF1377">
        <w:rPr>
          <w:color w:val="000000" w:themeColor="text1"/>
        </w:rPr>
        <w:t>-</w:t>
      </w:r>
      <w:r w:rsidR="00735880" w:rsidRPr="00262AD1">
        <w:rPr>
          <w:color w:val="000000" w:themeColor="text1"/>
        </w:rPr>
        <w:t xml:space="preserve"> will engage the clause. The Consultant's obligation to identify and disclose conflicts is ongoing throughout the appointment, not just at the point of signing. </w:t>
      </w:r>
    </w:p>
    <w:p w14:paraId="61E1C820" w14:textId="392A90C6" w:rsidR="00800894" w:rsidRPr="00262AD1" w:rsidRDefault="00735880" w:rsidP="000719FC">
      <w:pPr>
        <w:pStyle w:val="BBBodyTextIndent1"/>
        <w:rPr>
          <w:color w:val="000000" w:themeColor="text1"/>
        </w:rPr>
      </w:pPr>
      <w:r w:rsidRPr="00262AD1">
        <w:rPr>
          <w:color w:val="000000" w:themeColor="text1"/>
        </w:rPr>
        <w:t>Breach of the anti-bribery and conflict provisions entitles the Client to terminate the engagement immediately and without notice. This is a draconian remedy but one that is consistent with the public interest obligations that apply to the CEG as a community body. You should treat any suspected breach of this clause as a serious matter requiring immediate legal advice.</w:t>
      </w:r>
    </w:p>
    <w:p w14:paraId="2DC766DE" w14:textId="77777777" w:rsidR="00800894" w:rsidRPr="00262AD1" w:rsidRDefault="00800894" w:rsidP="000719FC">
      <w:pPr>
        <w:pStyle w:val="BBHeading2"/>
      </w:pPr>
      <w:r w:rsidRPr="00262AD1">
        <w:lastRenderedPageBreak/>
        <w:t>Clause 20: Data Protection</w:t>
      </w:r>
    </w:p>
    <w:p w14:paraId="55C2140F" w14:textId="56952B9F" w:rsidR="00800894" w:rsidRPr="00262AD1" w:rsidRDefault="00800894" w:rsidP="000719FC">
      <w:pPr>
        <w:pStyle w:val="BBBodyTextIndent1"/>
        <w:rPr>
          <w:color w:val="000000" w:themeColor="text1"/>
        </w:rPr>
      </w:pPr>
      <w:r w:rsidRPr="00262AD1">
        <w:rPr>
          <w:b/>
          <w:bCs/>
          <w:color w:val="000000" w:themeColor="text1"/>
        </w:rPr>
        <w:t>Purpose:</w:t>
      </w:r>
      <w:r w:rsidRPr="00262AD1">
        <w:rPr>
          <w:color w:val="000000" w:themeColor="text1"/>
        </w:rPr>
        <w:t xml:space="preserve"> </w:t>
      </w:r>
      <w:r w:rsidR="00735880" w:rsidRPr="00262AD1">
        <w:rPr>
          <w:color w:val="000000" w:themeColor="text1"/>
        </w:rPr>
        <w:t>This clause imposes data protection compliance obligations on the Consultant in respect of any personal data it receives in connection with the Agreement, ensuring that the Client's obligations under the applicable data protection legislation are properly reflected in its supply chain</w:t>
      </w:r>
      <w:r w:rsidRPr="00262AD1">
        <w:rPr>
          <w:color w:val="000000" w:themeColor="text1"/>
        </w:rPr>
        <w:t>.</w:t>
      </w:r>
    </w:p>
    <w:p w14:paraId="590EA974" w14:textId="77777777" w:rsidR="00800894" w:rsidRPr="00262AD1" w:rsidRDefault="00800894" w:rsidP="000719FC">
      <w:pPr>
        <w:pStyle w:val="BBHeading2"/>
      </w:pPr>
      <w:r w:rsidRPr="00262AD1">
        <w:t>Clause 21: Notices</w:t>
      </w:r>
    </w:p>
    <w:p w14:paraId="3359B8FA" w14:textId="2E123B7A" w:rsidR="00800894" w:rsidRPr="00262AD1" w:rsidRDefault="00800894" w:rsidP="000719FC">
      <w:pPr>
        <w:pStyle w:val="BBBodyTextIndent1"/>
      </w:pPr>
      <w:r w:rsidRPr="00262AD1">
        <w:rPr>
          <w:b/>
          <w:bCs/>
          <w:color w:val="000000" w:themeColor="text1"/>
        </w:rPr>
        <w:t>Purpose:</w:t>
      </w:r>
      <w:r w:rsidRPr="00262AD1">
        <w:rPr>
          <w:color w:val="000000" w:themeColor="text1"/>
        </w:rPr>
        <w:t xml:space="preserve"> </w:t>
      </w:r>
      <w:r w:rsidR="00735880" w:rsidRPr="00262AD1">
        <w:rPr>
          <w:szCs w:val="22"/>
        </w:rPr>
        <w:t>These provisions establish comprehensive notice requirements, including methods of service (hand delivery, first class recorded delivery, or email), deemed receipt times, and party contact details. Proper notice provisions are critical for enforcing rights (particularly making demands under the guarantee) and avoiding disputes over whether notice was validly given</w:t>
      </w:r>
      <w:r w:rsidRPr="00262AD1">
        <w:t>.</w:t>
      </w:r>
    </w:p>
    <w:p w14:paraId="141A14E2" w14:textId="77777777" w:rsidR="00800894" w:rsidRPr="00262AD1" w:rsidRDefault="00800894" w:rsidP="000719FC">
      <w:pPr>
        <w:pStyle w:val="BBHeading2"/>
      </w:pPr>
      <w:r w:rsidRPr="00262AD1">
        <w:t>Clause 22: Disputes</w:t>
      </w:r>
    </w:p>
    <w:p w14:paraId="1A1CB862" w14:textId="77777777" w:rsidR="00735880" w:rsidRPr="00262AD1" w:rsidRDefault="00800894" w:rsidP="000719FC">
      <w:pPr>
        <w:spacing w:before="240"/>
        <w:ind w:left="720"/>
        <w:jc w:val="both"/>
        <w:rPr>
          <w:sz w:val="22"/>
          <w:szCs w:val="22"/>
        </w:rPr>
      </w:pPr>
      <w:r w:rsidRPr="00262AD1">
        <w:rPr>
          <w:b/>
          <w:bCs/>
          <w:color w:val="000000" w:themeColor="text1"/>
        </w:rPr>
        <w:t>Purpose:</w:t>
      </w:r>
      <w:r w:rsidRPr="00262AD1">
        <w:rPr>
          <w:color w:val="000000" w:themeColor="text1"/>
        </w:rPr>
        <w:t xml:space="preserve"> </w:t>
      </w:r>
      <w:r w:rsidR="00735880" w:rsidRPr="00262AD1">
        <w:rPr>
          <w:sz w:val="22"/>
          <w:szCs w:val="22"/>
        </w:rPr>
        <w:t>This clause provides that either Party may refer any dispute or difference arising under the Agreement to adjudication, in accordance with the Adjudication Rules of the Technology and Construction Solicitors Association (</w:t>
      </w:r>
      <w:proofErr w:type="spellStart"/>
      <w:r w:rsidR="00735880" w:rsidRPr="00262AD1">
        <w:rPr>
          <w:sz w:val="22"/>
          <w:szCs w:val="22"/>
        </w:rPr>
        <w:t>TecSA</w:t>
      </w:r>
      <w:proofErr w:type="spellEnd"/>
      <w:r w:rsidR="00735880" w:rsidRPr="00262AD1">
        <w:rPr>
          <w:sz w:val="22"/>
          <w:szCs w:val="22"/>
        </w:rPr>
        <w:t xml:space="preserve"> Rules) in force at the date of the adjudication notice.</w:t>
      </w:r>
    </w:p>
    <w:p w14:paraId="7BCD6641" w14:textId="6E516C6B" w:rsidR="00800894" w:rsidRPr="00262AD1" w:rsidRDefault="00735880" w:rsidP="000719FC">
      <w:pPr>
        <w:spacing w:before="240" w:after="240"/>
        <w:ind w:left="720"/>
        <w:jc w:val="both"/>
        <w:rPr>
          <w:sz w:val="22"/>
          <w:szCs w:val="22"/>
        </w:rPr>
      </w:pPr>
      <w:r w:rsidRPr="00262AD1">
        <w:rPr>
          <w:b/>
          <w:bCs/>
          <w:sz w:val="22"/>
          <w:szCs w:val="22"/>
        </w:rPr>
        <w:t>Guidance for CEG:</w:t>
      </w:r>
      <w:r w:rsidRPr="00262AD1">
        <w:rPr>
          <w:sz w:val="22"/>
          <w:szCs w:val="22"/>
        </w:rPr>
        <w:t xml:space="preserve"> Adjudication is a statutory right under the Housing Grants, Construction and Regeneration Act 1996 for construction contracts. It provides a quick and relatively cost-effective means of resolving disputes. The decision of the adjudicator is binding unless and until revised by a court or by agreement. Ensure that you take legal advice promptly if a dispute appears likely, as the adjudication process involves strict timetables.</w:t>
      </w:r>
      <w:r w:rsidR="00500C8A">
        <w:rPr>
          <w:sz w:val="22"/>
          <w:szCs w:val="22"/>
        </w:rPr>
        <w:t xml:space="preserve"> The </w:t>
      </w:r>
      <w:proofErr w:type="spellStart"/>
      <w:r w:rsidR="00500C8A">
        <w:rPr>
          <w:sz w:val="22"/>
          <w:szCs w:val="22"/>
        </w:rPr>
        <w:t>TecSA</w:t>
      </w:r>
      <w:proofErr w:type="spellEnd"/>
      <w:r w:rsidR="00500C8A">
        <w:rPr>
          <w:sz w:val="22"/>
          <w:szCs w:val="22"/>
        </w:rPr>
        <w:t xml:space="preserve"> Rules are one set of rules governing adjudication and it is possible to select other sets of rules here. </w:t>
      </w:r>
    </w:p>
    <w:p w14:paraId="11D8B62A" w14:textId="77777777" w:rsidR="00800894" w:rsidRPr="00262AD1" w:rsidRDefault="00800894" w:rsidP="000719FC">
      <w:pPr>
        <w:pStyle w:val="BBHeading2"/>
      </w:pPr>
      <w:r w:rsidRPr="00262AD1">
        <w:t>Clause 23: Governing Law and Jurisdiction</w:t>
      </w:r>
    </w:p>
    <w:p w14:paraId="41D1281F" w14:textId="1958184E" w:rsidR="00800894" w:rsidRPr="00262AD1" w:rsidRDefault="00800894" w:rsidP="000719FC">
      <w:pPr>
        <w:pStyle w:val="BBBodyTextIndent1"/>
        <w:rPr>
          <w:color w:val="000000" w:themeColor="text1"/>
        </w:rPr>
      </w:pPr>
      <w:r w:rsidRPr="00262AD1">
        <w:rPr>
          <w:b/>
          <w:bCs/>
          <w:color w:val="000000" w:themeColor="text1"/>
        </w:rPr>
        <w:t>Purpose:</w:t>
      </w:r>
      <w:r w:rsidRPr="00262AD1">
        <w:rPr>
          <w:color w:val="000000" w:themeColor="text1"/>
        </w:rPr>
        <w:t xml:space="preserve"> </w:t>
      </w:r>
      <w:r w:rsidR="00735880" w:rsidRPr="00262AD1">
        <w:rPr>
          <w:szCs w:val="22"/>
        </w:rPr>
        <w:t>These provisions establish the law of England and Wales as the governing law and confer exclusive jurisdiction on the courts of England and Wales</w:t>
      </w:r>
      <w:r w:rsidRPr="00262AD1">
        <w:rPr>
          <w:color w:val="000000" w:themeColor="text1"/>
        </w:rPr>
        <w:t>.</w:t>
      </w:r>
    </w:p>
    <w:p w14:paraId="320CDBA0" w14:textId="5E80068E" w:rsidR="006728FE" w:rsidRDefault="00800894" w:rsidP="008256D5">
      <w:pPr>
        <w:pStyle w:val="BBBodyTextIndent1"/>
        <w:rPr>
          <w:color w:val="000000" w:themeColor="text1"/>
        </w:rPr>
      </w:pPr>
      <w:r w:rsidRPr="00262AD1">
        <w:rPr>
          <w:b/>
          <w:bCs/>
          <w:color w:val="000000" w:themeColor="text1"/>
        </w:rPr>
        <w:t>Action Required:</w:t>
      </w:r>
      <w:r w:rsidRPr="00262AD1">
        <w:rPr>
          <w:color w:val="000000" w:themeColor="text1"/>
        </w:rPr>
        <w:t xml:space="preserve"> Confirm that English law and the jurisdiction of the courts of England and Wales are appropriate for the Project. This should be consistent with the governing law provisions in the other Project contracts.</w:t>
      </w:r>
    </w:p>
    <w:p w14:paraId="42F24129" w14:textId="5F0E7711" w:rsidR="006728FE" w:rsidRDefault="006728FE">
      <w:pPr>
        <w:pStyle w:val="BBHeading2"/>
        <w:rPr>
          <w:color w:val="000000" w:themeColor="text1"/>
        </w:rPr>
      </w:pPr>
      <w:r>
        <w:rPr>
          <w:color w:val="000000" w:themeColor="text1"/>
        </w:rPr>
        <w:t>Caps, exclusions or limitations on liability</w:t>
      </w:r>
    </w:p>
    <w:p w14:paraId="16217089" w14:textId="27CB776D" w:rsidR="006728FE" w:rsidRPr="006728FE" w:rsidRDefault="006728FE" w:rsidP="008256D5">
      <w:pPr>
        <w:pStyle w:val="BBBodyTextIndent2"/>
      </w:pPr>
      <w:r>
        <w:rPr>
          <w:b/>
          <w:bCs/>
        </w:rPr>
        <w:t>Purpose:</w:t>
      </w:r>
      <w:r>
        <w:t xml:space="preserve"> to limit the Consultant’s liability to you and /or any beneficiaries under the collateral warranties/ third party rights. We have not included any limits on liability here as it is not an ideal starting </w:t>
      </w:r>
      <w:proofErr w:type="gramStart"/>
      <w:r>
        <w:t>point</w:t>
      </w:r>
      <w:proofErr w:type="gramEnd"/>
      <w:r>
        <w:t xml:space="preserve"> but it is not unusual for </w:t>
      </w:r>
      <w:proofErr w:type="gramStart"/>
      <w:r>
        <w:t>Consultants</w:t>
      </w:r>
      <w:proofErr w:type="gramEnd"/>
      <w:r>
        <w:t xml:space="preserve"> to look to limit their overall exposure. </w:t>
      </w:r>
      <w:r w:rsidR="00841D4B">
        <w:t>Any limitations should be at least in line with the level and basis of professional indemnity insurance and ideally should carve out liability in relation to breach of copyright</w:t>
      </w:r>
      <w:r w:rsidR="00943D8E">
        <w:t xml:space="preserve"> (so they retain unlimited liability in this respect)</w:t>
      </w:r>
      <w:r w:rsidR="00841D4B">
        <w:t>.</w:t>
      </w:r>
      <w:r w:rsidR="00943D8E">
        <w:t xml:space="preserve"> </w:t>
      </w:r>
      <w:r w:rsidR="00841D4B">
        <w:t xml:space="preserve">Caps on </w:t>
      </w:r>
      <w:r w:rsidR="00943D8E">
        <w:t xml:space="preserve">liability need to be considered very carefully on a </w:t>
      </w:r>
      <w:proofErr w:type="gramStart"/>
      <w:r w:rsidR="00943D8E">
        <w:t>case by case</w:t>
      </w:r>
      <w:proofErr w:type="gramEnd"/>
      <w:r w:rsidR="00943D8E">
        <w:t xml:space="preserve"> basis to see whether they can be accepted both in terms of the level of the cap and the basis-is it an aggregate cap? Or a cap in relation to </w:t>
      </w:r>
      <w:proofErr w:type="gramStart"/>
      <w:r w:rsidR="00943D8E">
        <w:t>each and every</w:t>
      </w:r>
      <w:proofErr w:type="gramEnd"/>
      <w:r w:rsidR="00943D8E">
        <w:t xml:space="preserve"> claim? This will have an impact on the level of protection the Contract provides as a result. Specific exclusions should also be reviewed extremely carefully on a </w:t>
      </w:r>
      <w:proofErr w:type="gramStart"/>
      <w:r w:rsidR="00943D8E">
        <w:t>case by case</w:t>
      </w:r>
      <w:proofErr w:type="gramEnd"/>
      <w:r w:rsidR="00943D8E">
        <w:t xml:space="preserve"> basis. In general, if an overall cap on liability is being accepted, this should be sufficient protection for the </w:t>
      </w:r>
      <w:proofErr w:type="gramStart"/>
      <w:r w:rsidR="00943D8E">
        <w:t>Consultant</w:t>
      </w:r>
      <w:proofErr w:type="gramEnd"/>
      <w:r w:rsidR="00943D8E">
        <w:t xml:space="preserve"> and we would not expect to see other types of liability carved out. </w:t>
      </w:r>
    </w:p>
    <w:p w14:paraId="71F94A17" w14:textId="77777777" w:rsidR="00800894" w:rsidRPr="00262AD1" w:rsidRDefault="00800894" w:rsidP="000719FC">
      <w:pPr>
        <w:pStyle w:val="BBHeading2"/>
      </w:pPr>
      <w:r w:rsidRPr="00262AD1">
        <w:lastRenderedPageBreak/>
        <w:t>Schedule 1: Project Details</w:t>
      </w:r>
    </w:p>
    <w:p w14:paraId="039C4846" w14:textId="77777777" w:rsidR="00800894" w:rsidRPr="00262AD1" w:rsidRDefault="00800894" w:rsidP="000719FC">
      <w:pPr>
        <w:pStyle w:val="BBBodyTextIndent1"/>
        <w:rPr>
          <w:color w:val="000000" w:themeColor="text1"/>
        </w:rPr>
      </w:pPr>
      <w:r w:rsidRPr="00262AD1">
        <w:rPr>
          <w:b/>
          <w:bCs/>
          <w:color w:val="000000" w:themeColor="text1"/>
        </w:rPr>
        <w:t>Purpose:</w:t>
      </w:r>
      <w:r w:rsidRPr="00262AD1">
        <w:rPr>
          <w:color w:val="000000" w:themeColor="text1"/>
        </w:rPr>
        <w:t xml:space="preserve"> This schedule sets out the key details of the Project, including the description of the Site, the Project scope, and the identities of all Other Consultants.</w:t>
      </w:r>
    </w:p>
    <w:p w14:paraId="1D8D58E8" w14:textId="77777777" w:rsidR="00800894" w:rsidRPr="00262AD1" w:rsidRDefault="00800894" w:rsidP="000719FC">
      <w:pPr>
        <w:pStyle w:val="BBBodyTextIndent1"/>
        <w:rPr>
          <w:b/>
          <w:bCs/>
          <w:color w:val="000000" w:themeColor="text1"/>
        </w:rPr>
      </w:pPr>
      <w:r w:rsidRPr="00262AD1">
        <w:rPr>
          <w:b/>
          <w:bCs/>
          <w:color w:val="000000" w:themeColor="text1"/>
        </w:rPr>
        <w:t>Action Required:</w:t>
      </w:r>
    </w:p>
    <w:p w14:paraId="7E9D3821" w14:textId="09366580" w:rsidR="00800894" w:rsidRPr="00262AD1" w:rsidRDefault="00D649B4" w:rsidP="000719FC">
      <w:pPr>
        <w:pStyle w:val="BulletNew"/>
      </w:pPr>
      <w:r w:rsidRPr="00262AD1">
        <w:t xml:space="preserve">Complete Schedule 1. </w:t>
      </w:r>
    </w:p>
    <w:p w14:paraId="707F3C1A" w14:textId="36B6ED16" w:rsidR="00800894" w:rsidRPr="00BD3630" w:rsidRDefault="00800894" w:rsidP="000719FC">
      <w:pPr>
        <w:pStyle w:val="BBHeading2"/>
      </w:pPr>
      <w:r w:rsidRPr="00BD3630">
        <w:t xml:space="preserve">Schedule 2: Fee </w:t>
      </w:r>
      <w:r w:rsidRPr="00BD3630">
        <w:rPr>
          <w:color w:val="FF0000"/>
        </w:rPr>
        <w:t>COMMONLY NEGOTIATED</w:t>
      </w:r>
      <w:r w:rsidR="00A1270D">
        <w:rPr>
          <w:color w:val="FF0000"/>
        </w:rPr>
        <w:t xml:space="preserve"> AND HIGH PRIORITY</w:t>
      </w:r>
    </w:p>
    <w:p w14:paraId="5C31A3DC" w14:textId="3D6BDE07" w:rsidR="00800894" w:rsidRPr="00262AD1" w:rsidRDefault="00800894" w:rsidP="000719FC">
      <w:pPr>
        <w:pStyle w:val="BBBodyTextIndent1"/>
        <w:rPr>
          <w:color w:val="000000" w:themeColor="text1"/>
        </w:rPr>
      </w:pPr>
      <w:r w:rsidRPr="00262AD1">
        <w:rPr>
          <w:b/>
          <w:bCs/>
          <w:color w:val="000000" w:themeColor="text1"/>
        </w:rPr>
        <w:t>Purpose:</w:t>
      </w:r>
      <w:r w:rsidRPr="00262AD1">
        <w:rPr>
          <w:color w:val="000000" w:themeColor="text1"/>
        </w:rPr>
        <w:t xml:space="preserve"> </w:t>
      </w:r>
      <w:r w:rsidR="00057A3A" w:rsidRPr="00262AD1">
        <w:rPr>
          <w:color w:val="000000" w:themeColor="text1"/>
        </w:rPr>
        <w:t xml:space="preserve">This schedule sets out the total Fee payable to the Consultant, the instalment structure by which that Fee is to be paid, and the payment mechanism </w:t>
      </w:r>
      <w:r w:rsidR="00DF1377">
        <w:rPr>
          <w:color w:val="000000" w:themeColor="text1"/>
        </w:rPr>
        <w:t>-</w:t>
      </w:r>
      <w:r w:rsidR="00057A3A" w:rsidRPr="00262AD1">
        <w:rPr>
          <w:color w:val="000000" w:themeColor="text1"/>
        </w:rPr>
        <w:t xml:space="preserve"> including the Due Date, the Final Payment Date, the Notified Sum process, the Counter Notice procedure, late payment interest, and the Client's right to withhold payment in the event of the Consultant's insolvency.</w:t>
      </w:r>
    </w:p>
    <w:p w14:paraId="776816D8" w14:textId="77777777" w:rsidR="00800894" w:rsidRPr="00262AD1" w:rsidRDefault="00800894" w:rsidP="000719FC">
      <w:pPr>
        <w:pStyle w:val="BBBodyTextIndent1"/>
        <w:rPr>
          <w:b/>
          <w:bCs/>
          <w:color w:val="000000" w:themeColor="text1"/>
        </w:rPr>
      </w:pPr>
      <w:r w:rsidRPr="00262AD1">
        <w:rPr>
          <w:b/>
          <w:bCs/>
          <w:color w:val="000000" w:themeColor="text1"/>
        </w:rPr>
        <w:t>Action Required:</w:t>
      </w:r>
    </w:p>
    <w:p w14:paraId="1CC23562" w14:textId="1454B9F2" w:rsidR="00057A3A" w:rsidRPr="00262AD1" w:rsidRDefault="00057A3A" w:rsidP="000719FC">
      <w:pPr>
        <w:pStyle w:val="BulletNew"/>
      </w:pPr>
      <w:r w:rsidRPr="00262AD1">
        <w:t>Insert the total lump sum Fee and the breakdown by work stage or instalment.</w:t>
      </w:r>
    </w:p>
    <w:p w14:paraId="6186A679" w14:textId="4ABB0939" w:rsidR="00057A3A" w:rsidRPr="00262AD1" w:rsidRDefault="00057A3A" w:rsidP="000719FC">
      <w:pPr>
        <w:pStyle w:val="BulletNew"/>
      </w:pPr>
      <w:r w:rsidRPr="00262AD1">
        <w:t>Complete the payment trigger dates in the instalment table.</w:t>
      </w:r>
    </w:p>
    <w:p w14:paraId="7457C7EB" w14:textId="77777777" w:rsidR="00800894" w:rsidRPr="00262AD1" w:rsidRDefault="00800894" w:rsidP="000719FC">
      <w:pPr>
        <w:pStyle w:val="BBBodyTextIndent1"/>
        <w:rPr>
          <w:b/>
          <w:bCs/>
          <w:color w:val="000000" w:themeColor="text1"/>
        </w:rPr>
      </w:pPr>
      <w:r w:rsidRPr="00262AD1">
        <w:rPr>
          <w:b/>
          <w:bCs/>
          <w:color w:val="000000" w:themeColor="text1"/>
        </w:rPr>
        <w:t>Guidance for CEG:</w:t>
      </w:r>
    </w:p>
    <w:p w14:paraId="18FF689B" w14:textId="695CD42E" w:rsidR="00057A3A" w:rsidRPr="00262AD1" w:rsidRDefault="00057A3A" w:rsidP="000719FC">
      <w:pPr>
        <w:pStyle w:val="BulletNew"/>
      </w:pPr>
      <w:r w:rsidRPr="00262AD1">
        <w:t xml:space="preserve">The payment mechanism in Schedule 2 engages the statutory payment requirements under the Housing Grants, Construction and Regeneration Act 1996 (as amended). The Due Date, Final Payment Date, Notified Sum and Counter Notice provisions are all designed to comply with those statutory requirements. Ensure that any Counter Notice is served not less than 5 days before the Final Payment Date </w:t>
      </w:r>
      <w:r w:rsidR="00DF1377">
        <w:t>-</w:t>
      </w:r>
      <w:r w:rsidRPr="00262AD1">
        <w:t xml:space="preserve"> failure to </w:t>
      </w:r>
      <w:r w:rsidR="009167A8">
        <w:t xml:space="preserve">serve any notices in compliance with the </w:t>
      </w:r>
      <w:proofErr w:type="gramStart"/>
      <w:r w:rsidR="009167A8">
        <w:t>Act  could</w:t>
      </w:r>
      <w:proofErr w:type="gramEnd"/>
      <w:r w:rsidR="009167A8">
        <w:t xml:space="preserve"> </w:t>
      </w:r>
      <w:r w:rsidRPr="00262AD1">
        <w:t>oblige the Client to pay the full Notified Sum regardless of any disputed amounts</w:t>
      </w:r>
      <w:r w:rsidR="009167A8">
        <w:t xml:space="preserve"> and potentially mean that the Client is liable for interest</w:t>
      </w:r>
      <w:r w:rsidRPr="00262AD1">
        <w:t>.</w:t>
      </w:r>
    </w:p>
    <w:p w14:paraId="41346F58" w14:textId="3989A1E7" w:rsidR="00800894" w:rsidRPr="00262AD1" w:rsidRDefault="00057A3A" w:rsidP="000719FC">
      <w:pPr>
        <w:pStyle w:val="BulletNew"/>
      </w:pPr>
      <w:r w:rsidRPr="00262AD1">
        <w:t xml:space="preserve">The insolvency withholding right in paragraph 8 is an important protection. If the Consultant becomes insolvent within 5 days of the Final Payment Date, the Client is not obliged to pay the Notified Sum on that date. However, </w:t>
      </w:r>
      <w:r w:rsidR="006B3A12" w:rsidRPr="00262AD1">
        <w:t xml:space="preserve">you should exercise this </w:t>
      </w:r>
      <w:r w:rsidRPr="00262AD1">
        <w:t>right carefully and in accordance with the clause</w:t>
      </w:r>
      <w:r w:rsidR="009167A8">
        <w:t xml:space="preserve"> as the time periods here are key</w:t>
      </w:r>
      <w:r w:rsidRPr="00262AD1">
        <w:t>.</w:t>
      </w:r>
    </w:p>
    <w:p w14:paraId="13A04D00" w14:textId="1029FFA7" w:rsidR="00800894" w:rsidRPr="00BD3630" w:rsidRDefault="00800894" w:rsidP="000719FC">
      <w:pPr>
        <w:pStyle w:val="BBHeading2"/>
      </w:pPr>
      <w:r w:rsidRPr="00BD3630">
        <w:t>Schedule 3: Services</w:t>
      </w:r>
      <w:r w:rsidR="006B3A12" w:rsidRPr="00BD3630">
        <w:t xml:space="preserve"> </w:t>
      </w:r>
      <w:r w:rsidR="006B3A12" w:rsidRPr="00BD3630">
        <w:rPr>
          <w:color w:val="FF0000"/>
        </w:rPr>
        <w:t>COMMONLY NEGOTIATED</w:t>
      </w:r>
    </w:p>
    <w:p w14:paraId="07B6BE2A" w14:textId="43E24B7F" w:rsidR="00800894" w:rsidRPr="00262AD1" w:rsidRDefault="00800894" w:rsidP="000719FC">
      <w:pPr>
        <w:pStyle w:val="BBBodyTextIndent1"/>
        <w:rPr>
          <w:color w:val="000000" w:themeColor="text1"/>
        </w:rPr>
      </w:pPr>
      <w:r w:rsidRPr="00262AD1">
        <w:rPr>
          <w:b/>
          <w:bCs/>
          <w:color w:val="000000" w:themeColor="text1"/>
        </w:rPr>
        <w:t>Purpose:</w:t>
      </w:r>
      <w:r w:rsidRPr="00262AD1">
        <w:rPr>
          <w:color w:val="000000" w:themeColor="text1"/>
        </w:rPr>
        <w:t xml:space="preserve"> </w:t>
      </w:r>
      <w:r w:rsidR="006B3A12" w:rsidRPr="00262AD1">
        <w:rPr>
          <w:color w:val="000000" w:themeColor="text1"/>
        </w:rPr>
        <w:t>This schedule defines the scope of the Services the Consultant is appointed to perform. It is the primary document by reference to which the Consultant's performance obligations are assessed and against which any claim for additional fees for services outside the scope must be judged</w:t>
      </w:r>
      <w:r w:rsidRPr="00262AD1">
        <w:rPr>
          <w:color w:val="000000" w:themeColor="text1"/>
        </w:rPr>
        <w:t>.</w:t>
      </w:r>
    </w:p>
    <w:p w14:paraId="08A9F77A" w14:textId="77777777" w:rsidR="00800894" w:rsidRPr="00262AD1" w:rsidRDefault="00800894" w:rsidP="000719FC">
      <w:pPr>
        <w:pStyle w:val="BBBodyTextIndent1"/>
        <w:keepNext/>
        <w:rPr>
          <w:b/>
          <w:bCs/>
          <w:color w:val="000000" w:themeColor="text1"/>
        </w:rPr>
      </w:pPr>
      <w:r w:rsidRPr="00262AD1">
        <w:rPr>
          <w:b/>
          <w:bCs/>
          <w:color w:val="000000" w:themeColor="text1"/>
        </w:rPr>
        <w:t>Action Required:</w:t>
      </w:r>
    </w:p>
    <w:p w14:paraId="7B87A8DB" w14:textId="77777777" w:rsidR="00800894" w:rsidRPr="00262AD1" w:rsidRDefault="00800894" w:rsidP="000719FC">
      <w:pPr>
        <w:pStyle w:val="BulletNew"/>
      </w:pPr>
      <w:r w:rsidRPr="00262AD1">
        <w:t>Complete Schedule 3 with the full and detailed scope of Services. This is a critical commercial document and should be tailored carefully to reflect the agreed scope for the specific Project and discipline of the Consultant being appointed.</w:t>
      </w:r>
    </w:p>
    <w:p w14:paraId="4462BF62" w14:textId="77777777" w:rsidR="00800894" w:rsidRPr="00262AD1" w:rsidRDefault="00800894" w:rsidP="000719FC">
      <w:pPr>
        <w:pStyle w:val="BulletNew"/>
      </w:pPr>
      <w:r w:rsidRPr="00262AD1">
        <w:t>Where the Consultant's role under the CDM Regulations or Building Regulations is relevant, ensure that the relevant obligations are clearly reflected in the Services schedule.</w:t>
      </w:r>
    </w:p>
    <w:p w14:paraId="0589D150" w14:textId="53C5202F" w:rsidR="006B3A12" w:rsidRPr="00262AD1" w:rsidRDefault="006B3A12" w:rsidP="000719FC">
      <w:pPr>
        <w:pStyle w:val="BBBodyTextIndent1"/>
      </w:pPr>
      <w:r w:rsidRPr="00262AD1">
        <w:rPr>
          <w:b/>
          <w:bCs/>
          <w:color w:val="000000" w:themeColor="text1"/>
        </w:rPr>
        <w:lastRenderedPageBreak/>
        <w:t xml:space="preserve">Guidance for CEG: </w:t>
      </w:r>
      <w:r w:rsidRPr="00262AD1">
        <w:rPr>
          <w:color w:val="000000" w:themeColor="text1"/>
        </w:rPr>
        <w:t xml:space="preserve">The completeness of Schedule 3 is critical. An imprecise or incomplete scope of services will give rise to disputes about whether </w:t>
      </w:r>
      <w:proofErr w:type="gramStart"/>
      <w:r w:rsidRPr="00262AD1">
        <w:rPr>
          <w:color w:val="000000" w:themeColor="text1"/>
        </w:rPr>
        <w:t>particular tasks</w:t>
      </w:r>
      <w:proofErr w:type="gramEnd"/>
      <w:r w:rsidRPr="00262AD1">
        <w:rPr>
          <w:color w:val="000000" w:themeColor="text1"/>
        </w:rPr>
        <w:t xml:space="preserve"> are included in the Fee or constitute Additional Services requiring a separate written instruction under clause 2.5. </w:t>
      </w:r>
    </w:p>
    <w:p w14:paraId="1B54E7DF" w14:textId="77777777" w:rsidR="00800894" w:rsidRPr="00262AD1" w:rsidRDefault="00800894" w:rsidP="000719FC">
      <w:pPr>
        <w:pStyle w:val="BBHeading2"/>
      </w:pPr>
      <w:r w:rsidRPr="00262AD1">
        <w:t>Schedule 4: Client's Brief, Project Cost Plan and Project Programme</w:t>
      </w:r>
    </w:p>
    <w:p w14:paraId="2350249D" w14:textId="35E1DA4C" w:rsidR="00800894" w:rsidRPr="00262AD1" w:rsidRDefault="00800894" w:rsidP="000719FC">
      <w:pPr>
        <w:pStyle w:val="BBBodyTextIndent1"/>
        <w:rPr>
          <w:color w:val="000000" w:themeColor="text1"/>
        </w:rPr>
      </w:pPr>
      <w:r w:rsidRPr="00262AD1">
        <w:rPr>
          <w:b/>
          <w:bCs/>
          <w:color w:val="000000" w:themeColor="text1"/>
        </w:rPr>
        <w:t>Purpose:</w:t>
      </w:r>
      <w:r w:rsidRPr="00262AD1">
        <w:rPr>
          <w:color w:val="000000" w:themeColor="text1"/>
        </w:rPr>
        <w:t xml:space="preserve"> </w:t>
      </w:r>
      <w:r w:rsidR="006B3A12" w:rsidRPr="00262AD1">
        <w:rPr>
          <w:color w:val="000000" w:themeColor="text1"/>
        </w:rPr>
        <w:t>This schedule contains three inter-related documents that collectively define what the Consultant is required to design, the budget within which it must design it, and the programme to which it must adhere. Each part has direct legal significance: the Client's Brief defines the output, the Project Cost Plan sets the financial parameters, and the Project Programme engages the time obligations under clause 12</w:t>
      </w:r>
      <w:r w:rsidRPr="00262AD1">
        <w:rPr>
          <w:color w:val="000000" w:themeColor="text1"/>
        </w:rPr>
        <w:t>.</w:t>
      </w:r>
    </w:p>
    <w:p w14:paraId="54996344" w14:textId="77777777" w:rsidR="00800894" w:rsidRPr="00262AD1" w:rsidRDefault="00800894" w:rsidP="000719FC">
      <w:pPr>
        <w:pStyle w:val="BBBodyTextIndent1"/>
        <w:rPr>
          <w:b/>
          <w:bCs/>
          <w:color w:val="000000" w:themeColor="text1"/>
        </w:rPr>
      </w:pPr>
      <w:r w:rsidRPr="00262AD1">
        <w:rPr>
          <w:b/>
          <w:bCs/>
          <w:color w:val="000000" w:themeColor="text1"/>
        </w:rPr>
        <w:t>Action Required:</w:t>
      </w:r>
    </w:p>
    <w:p w14:paraId="1B820571" w14:textId="77777777" w:rsidR="00800894" w:rsidRPr="00262AD1" w:rsidRDefault="00800894" w:rsidP="000719FC">
      <w:pPr>
        <w:pStyle w:val="BulletNew"/>
      </w:pPr>
      <w:r w:rsidRPr="00262AD1">
        <w:t>Complete Part 1 (Client's Brief) with the Client's requirements for the Project.</w:t>
      </w:r>
    </w:p>
    <w:p w14:paraId="66177C71" w14:textId="77777777" w:rsidR="00800894" w:rsidRPr="00262AD1" w:rsidRDefault="00800894" w:rsidP="000719FC">
      <w:pPr>
        <w:pStyle w:val="BulletNew"/>
      </w:pPr>
      <w:r w:rsidRPr="00262AD1">
        <w:t>Complete Part 2 (Project Cost Plan) with the total estimated cost of executing and completing the construction of the Project.</w:t>
      </w:r>
    </w:p>
    <w:p w14:paraId="2E0DE454" w14:textId="77777777" w:rsidR="00800894" w:rsidRPr="00262AD1" w:rsidRDefault="00800894" w:rsidP="000719FC">
      <w:pPr>
        <w:pStyle w:val="BulletNew"/>
      </w:pPr>
      <w:r w:rsidRPr="00262AD1">
        <w:t>Complete Part 3 (Project Programme) with the approved programme for design, construction, and performance of the Services.</w:t>
      </w:r>
    </w:p>
    <w:p w14:paraId="65FD25DB" w14:textId="08677B7E" w:rsidR="00800894" w:rsidRPr="00262AD1" w:rsidRDefault="00800894" w:rsidP="000719FC">
      <w:pPr>
        <w:pStyle w:val="BBBodyTextIndent1"/>
        <w:rPr>
          <w:color w:val="000000" w:themeColor="text1"/>
        </w:rPr>
      </w:pPr>
      <w:r w:rsidRPr="00262AD1">
        <w:rPr>
          <w:b/>
          <w:bCs/>
          <w:color w:val="000000" w:themeColor="text1"/>
        </w:rPr>
        <w:t>Guidance for CEG:</w:t>
      </w:r>
      <w:r w:rsidRPr="00262AD1">
        <w:rPr>
          <w:color w:val="000000" w:themeColor="text1"/>
        </w:rPr>
        <w:t xml:space="preserve"> </w:t>
      </w:r>
      <w:r w:rsidR="006B3A12" w:rsidRPr="00262AD1">
        <w:rPr>
          <w:color w:val="000000" w:themeColor="text1"/>
        </w:rPr>
        <w:t xml:space="preserve">The Project Programme in Part 3 is the document by reference to which the Consultant's compliance with clause 12 is assessed </w:t>
      </w:r>
      <w:r w:rsidR="00DF1377">
        <w:rPr>
          <w:color w:val="000000" w:themeColor="text1"/>
        </w:rPr>
        <w:t>-</w:t>
      </w:r>
      <w:r w:rsidR="006B3A12" w:rsidRPr="00262AD1">
        <w:rPr>
          <w:color w:val="000000" w:themeColor="text1"/>
        </w:rPr>
        <w:t xml:space="preserve"> including the notification obligations, the acceleration obligations, and the step-in right. An insufficiently detailed programme will undermine the Client's ability to rely on those provisions. Ensure milestones are specific, dated and tied to identifiable deliverables.</w:t>
      </w:r>
    </w:p>
    <w:p w14:paraId="3BA23D5E" w14:textId="2AC76C26" w:rsidR="00800894" w:rsidRPr="00262AD1" w:rsidRDefault="00800894" w:rsidP="000719FC">
      <w:pPr>
        <w:pStyle w:val="BBHeading2"/>
      </w:pPr>
      <w:r w:rsidRPr="00262AD1">
        <w:t xml:space="preserve">Schedule </w:t>
      </w:r>
      <w:r w:rsidR="00BF0ECD" w:rsidRPr="00262AD1">
        <w:t xml:space="preserve">5 </w:t>
      </w:r>
      <w:r w:rsidRPr="00262AD1">
        <w:t xml:space="preserve">(Third Party Rights) and Schedule </w:t>
      </w:r>
      <w:r w:rsidR="00BF0ECD" w:rsidRPr="00262AD1">
        <w:t xml:space="preserve">6 </w:t>
      </w:r>
      <w:r w:rsidRPr="00262AD1">
        <w:t>(Deeds of Warranty)</w:t>
      </w:r>
    </w:p>
    <w:p w14:paraId="08BA5531" w14:textId="77777777" w:rsidR="009167A8" w:rsidRDefault="00800894" w:rsidP="000719FC">
      <w:pPr>
        <w:pStyle w:val="BBBodyTextIndent1"/>
        <w:rPr>
          <w:color w:val="000000" w:themeColor="text1"/>
        </w:rPr>
      </w:pPr>
      <w:r w:rsidRPr="00262AD1">
        <w:rPr>
          <w:b/>
          <w:bCs/>
          <w:color w:val="000000" w:themeColor="text1"/>
        </w:rPr>
        <w:t>Purpose:</w:t>
      </w:r>
      <w:r w:rsidRPr="00262AD1">
        <w:rPr>
          <w:color w:val="000000" w:themeColor="text1"/>
        </w:rPr>
        <w:t xml:space="preserve"> </w:t>
      </w:r>
      <w:r w:rsidR="00BF0ECD" w:rsidRPr="00262AD1">
        <w:rPr>
          <w:color w:val="000000" w:themeColor="text1"/>
        </w:rPr>
        <w:t xml:space="preserve">These schedules provide third party beneficiaries </w:t>
      </w:r>
      <w:r w:rsidR="00DF1377">
        <w:rPr>
          <w:color w:val="000000" w:themeColor="text1"/>
        </w:rPr>
        <w:t>-</w:t>
      </w:r>
      <w:r w:rsidR="00BF0ECD" w:rsidRPr="00262AD1">
        <w:rPr>
          <w:color w:val="000000" w:themeColor="text1"/>
        </w:rPr>
        <w:t xml:space="preserve"> including Funders, Purchasers, Landlords and Tenants </w:t>
      </w:r>
      <w:r w:rsidR="00DF1377">
        <w:rPr>
          <w:color w:val="000000" w:themeColor="text1"/>
        </w:rPr>
        <w:t>-</w:t>
      </w:r>
      <w:r w:rsidR="00BF0ECD" w:rsidRPr="00262AD1">
        <w:rPr>
          <w:color w:val="000000" w:themeColor="text1"/>
        </w:rPr>
        <w:t xml:space="preserve"> with direct contractual rights against the Consultant in respect of the standard of care, Building Safety Laws compliance, Prohibited Materials, copyright and professional indemnity insurance. </w:t>
      </w:r>
    </w:p>
    <w:p w14:paraId="707CFFE6" w14:textId="09C5F344" w:rsidR="002F45A5" w:rsidRDefault="00BF0ECD" w:rsidP="000719FC">
      <w:pPr>
        <w:pStyle w:val="BBBodyTextIndent1"/>
        <w:rPr>
          <w:color w:val="000000" w:themeColor="text1"/>
        </w:rPr>
      </w:pPr>
      <w:r w:rsidRPr="00262AD1">
        <w:rPr>
          <w:color w:val="000000" w:themeColor="text1"/>
        </w:rPr>
        <w:t xml:space="preserve">Schedule 5 is a </w:t>
      </w:r>
      <w:r w:rsidR="002F45A5">
        <w:rPr>
          <w:color w:val="000000" w:themeColor="text1"/>
        </w:rPr>
        <w:t xml:space="preserve">schedule of </w:t>
      </w:r>
      <w:proofErr w:type="gramStart"/>
      <w:r w:rsidR="002F45A5">
        <w:rPr>
          <w:color w:val="000000" w:themeColor="text1"/>
        </w:rPr>
        <w:t>third party</w:t>
      </w:r>
      <w:proofErr w:type="gramEnd"/>
      <w:r w:rsidR="002F45A5">
        <w:rPr>
          <w:color w:val="000000" w:themeColor="text1"/>
        </w:rPr>
        <w:t xml:space="preserve"> rights in favour of the Original Client, as per clause 11 above.</w:t>
      </w:r>
      <w:r w:rsidRPr="00262AD1">
        <w:rPr>
          <w:color w:val="000000" w:themeColor="text1"/>
        </w:rPr>
        <w:t xml:space="preserve"> </w:t>
      </w:r>
    </w:p>
    <w:p w14:paraId="5A190DD2" w14:textId="7777A0BA" w:rsidR="00800894" w:rsidRPr="00262AD1" w:rsidRDefault="00BF0ECD" w:rsidP="000719FC">
      <w:pPr>
        <w:pStyle w:val="BBBodyTextIndent1"/>
        <w:rPr>
          <w:color w:val="000000" w:themeColor="text1"/>
        </w:rPr>
      </w:pPr>
      <w:r w:rsidRPr="00262AD1">
        <w:rPr>
          <w:color w:val="000000" w:themeColor="text1"/>
        </w:rPr>
        <w:t xml:space="preserve">Schedule 6 contains two separate </w:t>
      </w:r>
      <w:r w:rsidR="002F45A5">
        <w:rPr>
          <w:color w:val="000000" w:themeColor="text1"/>
        </w:rPr>
        <w:t xml:space="preserve">pro forma </w:t>
      </w:r>
      <w:r w:rsidRPr="00262AD1">
        <w:rPr>
          <w:color w:val="000000" w:themeColor="text1"/>
        </w:rPr>
        <w:t>deeds: one</w:t>
      </w:r>
      <w:r w:rsidR="002F45A5">
        <w:rPr>
          <w:color w:val="000000" w:themeColor="text1"/>
        </w:rPr>
        <w:t xml:space="preserve"> pro forma</w:t>
      </w:r>
      <w:r w:rsidRPr="00262AD1">
        <w:rPr>
          <w:color w:val="000000" w:themeColor="text1"/>
        </w:rPr>
        <w:t xml:space="preserve"> </w:t>
      </w:r>
      <w:r w:rsidR="002F45A5">
        <w:rPr>
          <w:color w:val="000000" w:themeColor="text1"/>
        </w:rPr>
        <w:t xml:space="preserve">tri-partite deed </w:t>
      </w:r>
      <w:r w:rsidRPr="00262AD1">
        <w:rPr>
          <w:color w:val="000000" w:themeColor="text1"/>
        </w:rPr>
        <w:t xml:space="preserve">in favour of the Funder specifically, and one </w:t>
      </w:r>
      <w:r w:rsidR="002F45A5">
        <w:rPr>
          <w:color w:val="000000" w:themeColor="text1"/>
        </w:rPr>
        <w:t xml:space="preserve">pro forma deed </w:t>
      </w:r>
      <w:r w:rsidRPr="00262AD1">
        <w:rPr>
          <w:color w:val="000000" w:themeColor="text1"/>
        </w:rPr>
        <w:t>in favour of Landlords, Purchasers and Tenants. All documents must be executed as deeds.</w:t>
      </w:r>
    </w:p>
    <w:p w14:paraId="0E3426DB" w14:textId="77777777" w:rsidR="00800894" w:rsidRPr="00262AD1" w:rsidRDefault="00800894" w:rsidP="000719FC">
      <w:pPr>
        <w:pStyle w:val="BBBodyTextIndent1"/>
        <w:rPr>
          <w:b/>
          <w:bCs/>
          <w:color w:val="000000" w:themeColor="text1"/>
        </w:rPr>
      </w:pPr>
      <w:r w:rsidRPr="00262AD1">
        <w:rPr>
          <w:b/>
          <w:bCs/>
          <w:color w:val="000000" w:themeColor="text1"/>
        </w:rPr>
        <w:t>Action Required:</w:t>
      </w:r>
    </w:p>
    <w:p w14:paraId="3114E37A" w14:textId="6ED3FD16" w:rsidR="00BF0ECD" w:rsidRPr="00262AD1" w:rsidRDefault="00BF0ECD" w:rsidP="000719FC">
      <w:pPr>
        <w:pStyle w:val="BulletNew"/>
      </w:pPr>
      <w:r w:rsidRPr="00262AD1">
        <w:t xml:space="preserve">Confirm whether the optional wording in the limitation clause of each </w:t>
      </w:r>
      <w:r w:rsidR="002F45A5">
        <w:t>document</w:t>
      </w:r>
      <w:r w:rsidR="002F45A5" w:rsidRPr="00262AD1">
        <w:t xml:space="preserve"> </w:t>
      </w:r>
      <w:r w:rsidR="00DF1377">
        <w:t>-</w:t>
      </w:r>
      <w:r w:rsidRPr="00262AD1">
        <w:t xml:space="preserve"> providing an alternative trigger for the 15-year Building Safety Laws limitation period in the event of early termination </w:t>
      </w:r>
      <w:r w:rsidR="00DF1377">
        <w:t>-</w:t>
      </w:r>
      <w:r w:rsidRPr="00262AD1">
        <w:t xml:space="preserve"> should be included. </w:t>
      </w:r>
    </w:p>
    <w:p w14:paraId="096783E2" w14:textId="04E4E0D1" w:rsidR="00BF0ECD" w:rsidRDefault="00BF0ECD" w:rsidP="000719FC">
      <w:pPr>
        <w:pStyle w:val="BulletNew"/>
      </w:pPr>
      <w:r w:rsidRPr="00262AD1">
        <w:t xml:space="preserve">Confirm and insert the </w:t>
      </w:r>
      <w:r w:rsidR="009607C8" w:rsidRPr="00262AD1">
        <w:t xml:space="preserve">professional indemnity insurance </w:t>
      </w:r>
      <w:r w:rsidRPr="00262AD1">
        <w:t>limit and ensure it is aligned with the limit stated in clause 8 of the main Agreement.</w:t>
      </w:r>
    </w:p>
    <w:p w14:paraId="3074BFB9" w14:textId="6B0E6986" w:rsidR="00B96DBB" w:rsidRDefault="00B96DBB" w:rsidP="00B96DBB">
      <w:pPr>
        <w:pStyle w:val="BulletNew"/>
      </w:pPr>
      <w:r>
        <w:t xml:space="preserve">Ensure that the </w:t>
      </w:r>
      <w:r w:rsidRPr="00262AD1">
        <w:t>limitation period in the collateral warranties (Schedule</w:t>
      </w:r>
      <w:r>
        <w:t xml:space="preserve"> 6</w:t>
      </w:r>
      <w:r w:rsidRPr="00262AD1">
        <w:t xml:space="preserve">) </w:t>
      </w:r>
      <w:r>
        <w:t xml:space="preserve">is </w:t>
      </w:r>
      <w:r w:rsidRPr="00262AD1">
        <w:t xml:space="preserve">consistent with clause 16 </w:t>
      </w:r>
      <w:r>
        <w:t>of the Agreement</w:t>
      </w:r>
      <w:r w:rsidRPr="00262AD1">
        <w:t>– any inconsistency could leave gaps in the beneficiary's ability to bring claims.</w:t>
      </w:r>
    </w:p>
    <w:p w14:paraId="2BF30406" w14:textId="275863E6" w:rsidR="00AA687C" w:rsidRPr="00262AD1" w:rsidRDefault="00AA687C" w:rsidP="00AA687C">
      <w:pPr>
        <w:pStyle w:val="BulletNew"/>
      </w:pPr>
      <w:r>
        <w:lastRenderedPageBreak/>
        <w:t xml:space="preserve">In the event a collateral warranty under Schedule 6 is required, you will need to prepare a copy of the relevant pro forma collateral warranty, </w:t>
      </w:r>
      <w:r w:rsidRPr="00262AD1">
        <w:t>complete all [ ], including the names and registered details of all parties, the Site address, the description of the Services, the professional indemnity insurance limit, and all notice details</w:t>
      </w:r>
      <w:r>
        <w:t xml:space="preserve"> and issue it to the parties (including the Consultant) for execution as a deed. </w:t>
      </w:r>
    </w:p>
    <w:p w14:paraId="7B64F964" w14:textId="05C045D9" w:rsidR="002F312D" w:rsidRPr="00262AD1" w:rsidRDefault="00800894" w:rsidP="000719FC">
      <w:pPr>
        <w:pStyle w:val="BBBodyTextIndent1"/>
        <w:rPr>
          <w:color w:val="000000" w:themeColor="text1"/>
        </w:rPr>
      </w:pPr>
      <w:r w:rsidRPr="00262AD1">
        <w:rPr>
          <w:b/>
          <w:bCs/>
          <w:color w:val="000000" w:themeColor="text1"/>
        </w:rPr>
        <w:t>Guidance for CEG:</w:t>
      </w:r>
      <w:r w:rsidR="002F312D" w:rsidRPr="00262AD1">
        <w:rPr>
          <w:b/>
          <w:bCs/>
          <w:color w:val="000000" w:themeColor="text1"/>
        </w:rPr>
        <w:t xml:space="preserve"> </w:t>
      </w:r>
      <w:r w:rsidR="002F45A5">
        <w:rPr>
          <w:color w:val="000000" w:themeColor="text1"/>
        </w:rPr>
        <w:t xml:space="preserve">Schedule 5, the </w:t>
      </w:r>
      <w:proofErr w:type="gramStart"/>
      <w:r w:rsidR="002F45A5">
        <w:rPr>
          <w:color w:val="000000" w:themeColor="text1"/>
        </w:rPr>
        <w:t>third party</w:t>
      </w:r>
      <w:proofErr w:type="gramEnd"/>
      <w:r w:rsidR="002F45A5">
        <w:rPr>
          <w:color w:val="000000" w:themeColor="text1"/>
        </w:rPr>
        <w:t xml:space="preserve"> rights schedule, will automatically apply to the Original Client and its associated </w:t>
      </w:r>
      <w:r w:rsidR="00AA687C">
        <w:rPr>
          <w:color w:val="000000" w:themeColor="text1"/>
        </w:rPr>
        <w:t>entities</w:t>
      </w:r>
      <w:r w:rsidR="002F45A5">
        <w:rPr>
          <w:color w:val="000000" w:themeColor="text1"/>
        </w:rPr>
        <w:t>. The pro forma documents at Schedule 6</w:t>
      </w:r>
      <w:r w:rsidR="002F312D" w:rsidRPr="00262AD1">
        <w:rPr>
          <w:color w:val="000000" w:themeColor="text1"/>
        </w:rPr>
        <w:t xml:space="preserve"> </w:t>
      </w:r>
      <w:r w:rsidR="00297E44" w:rsidRPr="00262AD1">
        <w:rPr>
          <w:color w:val="000000" w:themeColor="text1"/>
        </w:rPr>
        <w:t>are conditional</w:t>
      </w:r>
      <w:r w:rsidR="002F45A5">
        <w:rPr>
          <w:color w:val="000000" w:themeColor="text1"/>
        </w:rPr>
        <w:t>.</w:t>
      </w:r>
      <w:r w:rsidR="00297E44" w:rsidRPr="00262AD1">
        <w:rPr>
          <w:color w:val="000000" w:themeColor="text1"/>
        </w:rPr>
        <w:t xml:space="preserve"> and </w:t>
      </w:r>
      <w:r w:rsidR="002F312D" w:rsidRPr="00262AD1">
        <w:rPr>
          <w:color w:val="000000" w:themeColor="text1"/>
        </w:rPr>
        <w:t xml:space="preserve">will only be required where there are third party beneficiaries </w:t>
      </w:r>
      <w:r w:rsidR="00DF1377">
        <w:rPr>
          <w:color w:val="000000" w:themeColor="text1"/>
        </w:rPr>
        <w:t>-</w:t>
      </w:r>
      <w:r w:rsidR="002F312D" w:rsidRPr="00262AD1">
        <w:rPr>
          <w:color w:val="000000" w:themeColor="text1"/>
        </w:rPr>
        <w:t xml:space="preserve"> such as a Funder, Purchaser, Landlord or Tenant </w:t>
      </w:r>
      <w:r w:rsidR="00DF1377">
        <w:rPr>
          <w:color w:val="000000" w:themeColor="text1"/>
        </w:rPr>
        <w:t>-</w:t>
      </w:r>
      <w:r w:rsidR="002F312D" w:rsidRPr="00262AD1">
        <w:rPr>
          <w:color w:val="000000" w:themeColor="text1"/>
        </w:rPr>
        <w:t xml:space="preserve"> who require direct contractual rights against the Consultant</w:t>
      </w:r>
      <w:r w:rsidR="00297E44" w:rsidRPr="00262AD1">
        <w:rPr>
          <w:color w:val="000000" w:themeColor="text1"/>
        </w:rPr>
        <w:t xml:space="preserve"> and</w:t>
      </w:r>
      <w:r w:rsidR="00AA687C">
        <w:rPr>
          <w:color w:val="000000" w:themeColor="text1"/>
        </w:rPr>
        <w:t xml:space="preserve"> where the Client has</w:t>
      </w:r>
      <w:r w:rsidR="00297E44" w:rsidRPr="00262AD1">
        <w:rPr>
          <w:color w:val="000000" w:themeColor="text1"/>
        </w:rPr>
        <w:t xml:space="preserve"> ma</w:t>
      </w:r>
      <w:r w:rsidR="00AA687C">
        <w:rPr>
          <w:color w:val="000000" w:themeColor="text1"/>
        </w:rPr>
        <w:t>de</w:t>
      </w:r>
      <w:r w:rsidR="00297E44" w:rsidRPr="00262AD1">
        <w:rPr>
          <w:color w:val="000000" w:themeColor="text1"/>
        </w:rPr>
        <w:t xml:space="preserve"> a written request under clause 3.11 of the Agreement</w:t>
      </w:r>
      <w:r w:rsidR="002F312D" w:rsidRPr="00262AD1">
        <w:rPr>
          <w:color w:val="000000" w:themeColor="text1"/>
        </w:rPr>
        <w:t xml:space="preserve">. </w:t>
      </w:r>
      <w:r w:rsidR="00AA687C">
        <w:rPr>
          <w:color w:val="000000" w:themeColor="text1"/>
        </w:rPr>
        <w:t xml:space="preserve">In that case you will need to arrange for a copy or copies of the relevant collateral warranty to be copied, populated and issued for signing as a deed and dating. </w:t>
      </w:r>
      <w:r w:rsidR="002F312D" w:rsidRPr="00262AD1">
        <w:rPr>
          <w:color w:val="000000" w:themeColor="text1"/>
        </w:rPr>
        <w:t>On a straightforward project with no external financing and no disposal of the Client's interest, these schedules may not be needed at all</w:t>
      </w:r>
      <w:r w:rsidR="00297E44" w:rsidRPr="00262AD1">
        <w:rPr>
          <w:color w:val="000000" w:themeColor="text1"/>
        </w:rPr>
        <w:t xml:space="preserve">. </w:t>
      </w:r>
    </w:p>
    <w:p w14:paraId="6BC0737A" w14:textId="623246F8" w:rsidR="002F312D" w:rsidRPr="00262AD1" w:rsidRDefault="002F312D" w:rsidP="000719FC">
      <w:pPr>
        <w:pStyle w:val="BulletNew"/>
      </w:pPr>
      <w:r w:rsidRPr="00262AD1">
        <w:t xml:space="preserve">The Funder's </w:t>
      </w:r>
      <w:r w:rsidR="00AA687C">
        <w:t>collateral warranty</w:t>
      </w:r>
      <w:r w:rsidRPr="00262AD1">
        <w:t xml:space="preserve"> specifically will only be required where the project is being financed by a </w:t>
      </w:r>
      <w:proofErr w:type="gramStart"/>
      <w:r w:rsidRPr="00262AD1">
        <w:t>third party</w:t>
      </w:r>
      <w:proofErr w:type="gramEnd"/>
      <w:r w:rsidRPr="00262AD1">
        <w:t xml:space="preserve"> lender who requires direct collateral security over the Consultant's</w:t>
      </w:r>
      <w:r w:rsidR="00AA687C">
        <w:t xml:space="preserve"> services</w:t>
      </w:r>
      <w:r w:rsidRPr="00262AD1">
        <w:t>. Community energy projects at an early stage, or those funded entirely from equity, may not require a Funder's deed.</w:t>
      </w:r>
    </w:p>
    <w:p w14:paraId="4A63092C" w14:textId="062EB552" w:rsidR="00800894" w:rsidRPr="00262AD1" w:rsidRDefault="002F312D" w:rsidP="000719FC">
      <w:pPr>
        <w:pStyle w:val="BulletNew"/>
      </w:pPr>
      <w:r w:rsidRPr="00262AD1">
        <w:t xml:space="preserve">The Landlord, Purchaser and Tenant deed will only be required where the completed project is </w:t>
      </w:r>
      <w:r w:rsidR="00AA687C">
        <w:t xml:space="preserve">on land owned by a third party, or </w:t>
      </w:r>
      <w:r w:rsidRPr="00262AD1">
        <w:t>to be sold, let or otherwise disposed of to a party who requires a warranty as a condition of the transaction.</w:t>
      </w:r>
    </w:p>
    <w:p w14:paraId="15E3DE27" w14:textId="65B436F0" w:rsidR="007C1E3C" w:rsidRPr="00262AD1" w:rsidRDefault="002F312D" w:rsidP="000719FC">
      <w:pPr>
        <w:pStyle w:val="BulletNew"/>
      </w:pPr>
      <w:r w:rsidRPr="00262AD1">
        <w:t xml:space="preserve">The substitution mechanism </w:t>
      </w:r>
      <w:r w:rsidR="006C0045">
        <w:t xml:space="preserve">in clause 6 of </w:t>
      </w:r>
      <w:r w:rsidRPr="00262AD1">
        <w:t>the Funder's deed</w:t>
      </w:r>
      <w:r w:rsidR="006C0045">
        <w:t xml:space="preserve"> (Schedule 6</w:t>
      </w:r>
      <w:r w:rsidRPr="00262AD1">
        <w:t xml:space="preserve">) is a key protection for project finance lenders </w:t>
      </w:r>
      <w:r w:rsidR="00DF1377">
        <w:t>-</w:t>
      </w:r>
      <w:r w:rsidRPr="00262AD1">
        <w:t xml:space="preserve"> it allows the Funder to require the Consultant to </w:t>
      </w:r>
      <w:proofErr w:type="gramStart"/>
      <w:r w:rsidRPr="00262AD1">
        <w:t>enter into</w:t>
      </w:r>
      <w:proofErr w:type="gramEnd"/>
      <w:r w:rsidRPr="00262AD1">
        <w:t xml:space="preserve"> a direct appointment with a replacement employer nominated by the Funder, on the same terms as the original Appointment. This right is typically a condition of any project finance facility.</w:t>
      </w:r>
    </w:p>
    <w:sectPr w:rsidR="007C1E3C" w:rsidRPr="00262AD1" w:rsidSect="007B7847">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CF2CC" w14:textId="77777777" w:rsidR="00383D52" w:rsidRDefault="00383D52" w:rsidP="00B01583">
      <w:r>
        <w:separator/>
      </w:r>
    </w:p>
  </w:endnote>
  <w:endnote w:type="continuationSeparator" w:id="0">
    <w:p w14:paraId="35F2DCB1" w14:textId="77777777" w:rsidR="00383D52" w:rsidRDefault="00383D52"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45633" w14:textId="77777777" w:rsidR="009D06CE" w:rsidRDefault="009D06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A5912" w14:textId="77777777" w:rsidR="009D06CE" w:rsidRDefault="009D06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8A58" w14:textId="25BAB94C" w:rsidR="007A4324" w:rsidRPr="00BD5F83" w:rsidRDefault="00E07042" w:rsidP="007A4324">
    <w:pPr>
      <w:pStyle w:val="BodyText"/>
      <w:spacing w:before="120"/>
      <w:jc w:val="center"/>
      <w:rPr>
        <w:szCs w:val="22"/>
      </w:rPr>
    </w:pPr>
    <w:r>
      <w:rPr>
        <w:noProof/>
      </w:rPr>
      <w:drawing>
        <wp:inline distT="0" distB="0" distL="0" distR="0" wp14:anchorId="43C2F87A" wp14:editId="5D28855F">
          <wp:extent cx="1511300" cy="266700"/>
          <wp:effectExtent l="0" t="0" r="0" b="0"/>
          <wp:docPr id="640174559" name="Picture 640174559"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89E4150" w14:textId="77777777" w:rsidR="007A4324" w:rsidRDefault="007A4324" w:rsidP="007A4324">
    <w:pPr>
      <w:pStyle w:val="BodyText"/>
      <w:spacing w:after="0"/>
      <w:jc w:val="center"/>
      <w:rPr>
        <w:sz w:val="16"/>
        <w:szCs w:val="16"/>
        <w:lang w:val="en-US"/>
      </w:rPr>
    </w:pPr>
    <w:r>
      <w:rPr>
        <w:sz w:val="16"/>
        <w:szCs w:val="16"/>
        <w:lang w:val="en-US"/>
      </w:rPr>
      <w:t>Bird &amp; Bird LLP, 12 New Fetter Lane, London EC4A 1JP, United Kingdom</w:t>
    </w:r>
  </w:p>
  <w:p w14:paraId="3602C94A" w14:textId="59ABEBCA" w:rsidR="007A4324" w:rsidRDefault="007A4324" w:rsidP="007A4324">
    <w:pPr>
      <w:pStyle w:val="Footer"/>
    </w:pPr>
    <w:r w:rsidRPr="00E37E62">
      <w:rPr>
        <w:sz w:val="16"/>
        <w:szCs w:val="16"/>
      </w:rPr>
      <w:t xml:space="preserve">T: +44 (0)20 7415 6000 | </w:t>
    </w:r>
    <w:hyperlink r:id="rId2" w:history="1">
      <w:r w:rsidRPr="00E37E6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Default="00361064" w:rsidP="00361064">
    <w:pPr>
      <w:rPr>
        <w:sz w:val="22"/>
        <w:szCs w:val="22"/>
      </w:rPr>
    </w:pPr>
  </w:p>
  <w:p w14:paraId="6B9428D4" w14:textId="77777777" w:rsidR="00BD5F83" w:rsidRPr="00F80A38"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D07F1" w14:textId="77777777" w:rsidR="00383D52" w:rsidRDefault="00383D52" w:rsidP="00B01583">
      <w:r>
        <w:separator/>
      </w:r>
    </w:p>
  </w:footnote>
  <w:footnote w:type="continuationSeparator" w:id="0">
    <w:p w14:paraId="34E37E0F" w14:textId="77777777" w:rsidR="00383D52" w:rsidRDefault="00383D52"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Default="00216ECF">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C8D4A40" w14:textId="77777777" w:rsidTr="00E44E72">
      <w:trPr>
        <w:cantSplit/>
        <w:trHeight w:val="810"/>
      </w:trPr>
      <w:tc>
        <w:tcPr>
          <w:tcW w:w="1984" w:type="pct"/>
        </w:tcPr>
        <w:p w14:paraId="10673EC1" w14:textId="789C4F4D" w:rsidR="00982913" w:rsidRPr="006223B8" w:rsidRDefault="00982913" w:rsidP="00C501B2">
          <w:r w:rsidRPr="006223B8">
            <w:rPr>
              <w:noProof/>
            </w:rPr>
            <w:drawing>
              <wp:inline distT="0" distB="0" distL="0" distR="0" wp14:anchorId="44C86AF9" wp14:editId="57BC99F0">
                <wp:extent cx="1518700" cy="390523"/>
                <wp:effectExtent l="0" t="0" r="5715" b="0"/>
                <wp:docPr id="1749722786"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C501B2" w:rsidRDefault="009071AC" w:rsidP="00E44E72">
          <w:pPr>
            <w:pStyle w:val="BodyText"/>
            <w:jc w:val="right"/>
            <w:rPr>
              <w:sz w:val="20"/>
            </w:rPr>
          </w:pPr>
          <w:r>
            <w:rPr>
              <w:sz w:val="20"/>
            </w:rPr>
            <w:t>Shareholders' Agreement</w:t>
          </w:r>
        </w:p>
      </w:tc>
    </w:tr>
  </w:tbl>
  <w:p w14:paraId="43664095" w14:textId="129705C9" w:rsidR="00C501B2" w:rsidRPr="006223B8" w:rsidRDefault="00216ECF"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Default="00216ECF">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Default="00216ECF">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Default="00216ECF">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Default="00216ECF">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Default="00216ECF">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Default="00216ECF">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Default="00216ECF">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1C97"/>
    <w:multiLevelType w:val="multilevel"/>
    <w:tmpl w:val="01C2A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2" w15:restartNumberingAfterBreak="0">
    <w:nsid w:val="06230BED"/>
    <w:multiLevelType w:val="multilevel"/>
    <w:tmpl w:val="FE20CEA2"/>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bullet"/>
      <w:pStyle w:val="BulletNew"/>
      <w:lvlText w:val=""/>
      <w:lvlJc w:val="left"/>
      <w:pPr>
        <w:ind w:left="1080" w:hanging="360"/>
      </w:pPr>
      <w:rPr>
        <w:rFonts w:ascii="Wingdings" w:hAnsi="Wingding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3" w15:restartNumberingAfterBreak="0">
    <w:nsid w:val="0DCF6BDF"/>
    <w:multiLevelType w:val="multilevel"/>
    <w:tmpl w:val="51D84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6" w15:restartNumberingAfterBreak="0">
    <w:nsid w:val="3C2C365B"/>
    <w:multiLevelType w:val="multilevel"/>
    <w:tmpl w:val="C70A4AB8"/>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7"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99E57EB"/>
    <w:multiLevelType w:val="multilevel"/>
    <w:tmpl w:val="933002F4"/>
    <w:numStyleLink w:val="Parties"/>
  </w:abstractNum>
  <w:abstractNum w:abstractNumId="13" w15:restartNumberingAfterBreak="0">
    <w:nsid w:val="75E177F3"/>
    <w:multiLevelType w:val="multilevel"/>
    <w:tmpl w:val="22B85D12"/>
    <w:numStyleLink w:val="NumberingSchedules"/>
  </w:abstractNum>
  <w:num w:numId="1" w16cid:durableId="710425439">
    <w:abstractNumId w:val="1"/>
  </w:num>
  <w:num w:numId="2" w16cid:durableId="83498367">
    <w:abstractNumId w:val="5"/>
  </w:num>
  <w:num w:numId="3" w16cid:durableId="752943439">
    <w:abstractNumId w:val="10"/>
  </w:num>
  <w:num w:numId="4" w16cid:durableId="1874881795">
    <w:abstractNumId w:val="12"/>
  </w:num>
  <w:num w:numId="5" w16cid:durableId="1748654350">
    <w:abstractNumId w:val="11"/>
  </w:num>
  <w:num w:numId="6" w16cid:durableId="909313039">
    <w:abstractNumId w:val="6"/>
  </w:num>
  <w:num w:numId="7" w16cid:durableId="1133140534">
    <w:abstractNumId w:val="5"/>
  </w:num>
  <w:num w:numId="8" w16cid:durableId="525599901">
    <w:abstractNumId w:val="6"/>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9" w16cid:durableId="799298954">
    <w:abstractNumId w:val="9"/>
  </w:num>
  <w:num w:numId="10" w16cid:durableId="396634208">
    <w:abstractNumId w:val="4"/>
  </w:num>
  <w:num w:numId="11" w16cid:durableId="1735926167">
    <w:abstractNumId w:val="8"/>
  </w:num>
  <w:num w:numId="12" w16cid:durableId="1398673678">
    <w:abstractNumId w:val="13"/>
  </w:num>
  <w:num w:numId="13" w16cid:durableId="896865449">
    <w:abstractNumId w:val="2"/>
  </w:num>
  <w:num w:numId="14" w16cid:durableId="1330592969">
    <w:abstractNumId w:val="2"/>
  </w:num>
  <w:num w:numId="15" w16cid:durableId="534730065">
    <w:abstractNumId w:val="2"/>
  </w:num>
  <w:num w:numId="16" w16cid:durableId="333535391">
    <w:abstractNumId w:val="2"/>
  </w:num>
  <w:num w:numId="17" w16cid:durableId="1185093341">
    <w:abstractNumId w:val="2"/>
  </w:num>
  <w:num w:numId="18" w16cid:durableId="310793827">
    <w:abstractNumId w:val="2"/>
  </w:num>
  <w:num w:numId="19" w16cid:durableId="1907647693">
    <w:abstractNumId w:val="2"/>
  </w:num>
  <w:num w:numId="20" w16cid:durableId="1131242537">
    <w:abstractNumId w:val="2"/>
  </w:num>
  <w:num w:numId="21" w16cid:durableId="98719665">
    <w:abstractNumId w:val="2"/>
  </w:num>
  <w:num w:numId="22" w16cid:durableId="1194537559">
    <w:abstractNumId w:val="2"/>
  </w:num>
  <w:num w:numId="23" w16cid:durableId="1604723602">
    <w:abstractNumId w:val="2"/>
  </w:num>
  <w:num w:numId="24" w16cid:durableId="486938557">
    <w:abstractNumId w:val="2"/>
  </w:num>
  <w:num w:numId="25" w16cid:durableId="680476418">
    <w:abstractNumId w:val="2"/>
  </w:num>
  <w:num w:numId="26" w16cid:durableId="1906180821">
    <w:abstractNumId w:val="2"/>
  </w:num>
  <w:num w:numId="27" w16cid:durableId="695085924">
    <w:abstractNumId w:val="2"/>
  </w:num>
  <w:num w:numId="28" w16cid:durableId="1124691576">
    <w:abstractNumId w:val="2"/>
  </w:num>
  <w:num w:numId="29" w16cid:durableId="206258447">
    <w:abstractNumId w:val="2"/>
  </w:num>
  <w:num w:numId="30" w16cid:durableId="2110734564">
    <w:abstractNumId w:val="2"/>
  </w:num>
  <w:num w:numId="31" w16cid:durableId="624895094">
    <w:abstractNumId w:val="6"/>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32" w16cid:durableId="1273173265">
    <w:abstractNumId w:val="0"/>
  </w:num>
  <w:num w:numId="33" w16cid:durableId="1353921261">
    <w:abstractNumId w:val="3"/>
  </w:num>
  <w:num w:numId="34" w16cid:durableId="1871649603">
    <w:abstractNumId w:val="2"/>
  </w:num>
  <w:num w:numId="35" w16cid:durableId="1306277212">
    <w:abstractNumId w:val="6"/>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36" w16cid:durableId="1584097496">
    <w:abstractNumId w:val="2"/>
  </w:num>
  <w:num w:numId="37" w16cid:durableId="1300301986">
    <w:abstractNumId w:val="6"/>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38" w16cid:durableId="1358238233">
    <w:abstractNumId w:val="6"/>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B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1"/>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B95336"/>
    <w:rsid w:val="000013DF"/>
    <w:rsid w:val="00004B6F"/>
    <w:rsid w:val="00005199"/>
    <w:rsid w:val="000128DF"/>
    <w:rsid w:val="0001347A"/>
    <w:rsid w:val="000175A1"/>
    <w:rsid w:val="000179D9"/>
    <w:rsid w:val="0002312C"/>
    <w:rsid w:val="00023465"/>
    <w:rsid w:val="0002778C"/>
    <w:rsid w:val="000315B8"/>
    <w:rsid w:val="0003420D"/>
    <w:rsid w:val="00034EBB"/>
    <w:rsid w:val="0004239F"/>
    <w:rsid w:val="0004386D"/>
    <w:rsid w:val="00043871"/>
    <w:rsid w:val="0004779B"/>
    <w:rsid w:val="000558A0"/>
    <w:rsid w:val="00057A3A"/>
    <w:rsid w:val="00063248"/>
    <w:rsid w:val="00063385"/>
    <w:rsid w:val="000643F7"/>
    <w:rsid w:val="000719FC"/>
    <w:rsid w:val="00071F4C"/>
    <w:rsid w:val="00072293"/>
    <w:rsid w:val="00072C23"/>
    <w:rsid w:val="00084C40"/>
    <w:rsid w:val="00085287"/>
    <w:rsid w:val="0009275F"/>
    <w:rsid w:val="00095E1D"/>
    <w:rsid w:val="000A03BB"/>
    <w:rsid w:val="000A0610"/>
    <w:rsid w:val="000A0F22"/>
    <w:rsid w:val="000A1ACD"/>
    <w:rsid w:val="000A36C8"/>
    <w:rsid w:val="000A3F41"/>
    <w:rsid w:val="000B07F8"/>
    <w:rsid w:val="000B0AF1"/>
    <w:rsid w:val="000B1031"/>
    <w:rsid w:val="000B10D6"/>
    <w:rsid w:val="000B4884"/>
    <w:rsid w:val="000B701C"/>
    <w:rsid w:val="000C17B5"/>
    <w:rsid w:val="000C4EE4"/>
    <w:rsid w:val="000C79BE"/>
    <w:rsid w:val="000C7E74"/>
    <w:rsid w:val="000D1237"/>
    <w:rsid w:val="000D1FB9"/>
    <w:rsid w:val="000D3612"/>
    <w:rsid w:val="000D3DA9"/>
    <w:rsid w:val="000D6502"/>
    <w:rsid w:val="000D7CE6"/>
    <w:rsid w:val="000E6FA0"/>
    <w:rsid w:val="000E7ACE"/>
    <w:rsid w:val="001061BB"/>
    <w:rsid w:val="00110D63"/>
    <w:rsid w:val="00120A6E"/>
    <w:rsid w:val="00123797"/>
    <w:rsid w:val="0012438F"/>
    <w:rsid w:val="001256A3"/>
    <w:rsid w:val="00126520"/>
    <w:rsid w:val="00127662"/>
    <w:rsid w:val="001279EF"/>
    <w:rsid w:val="00132BE5"/>
    <w:rsid w:val="00132CA4"/>
    <w:rsid w:val="00141820"/>
    <w:rsid w:val="00141E3B"/>
    <w:rsid w:val="0014266F"/>
    <w:rsid w:val="00143400"/>
    <w:rsid w:val="00146110"/>
    <w:rsid w:val="00150897"/>
    <w:rsid w:val="001528C6"/>
    <w:rsid w:val="00152A16"/>
    <w:rsid w:val="00152A99"/>
    <w:rsid w:val="0016372F"/>
    <w:rsid w:val="0016379B"/>
    <w:rsid w:val="001649A5"/>
    <w:rsid w:val="001704CD"/>
    <w:rsid w:val="00175680"/>
    <w:rsid w:val="001815D7"/>
    <w:rsid w:val="00181E9C"/>
    <w:rsid w:val="001924CE"/>
    <w:rsid w:val="001957E1"/>
    <w:rsid w:val="00195963"/>
    <w:rsid w:val="0019640C"/>
    <w:rsid w:val="00197A41"/>
    <w:rsid w:val="001A2C52"/>
    <w:rsid w:val="001B3E13"/>
    <w:rsid w:val="001B663E"/>
    <w:rsid w:val="001B72D6"/>
    <w:rsid w:val="001C002E"/>
    <w:rsid w:val="001C51B2"/>
    <w:rsid w:val="001D0D06"/>
    <w:rsid w:val="001D101D"/>
    <w:rsid w:val="001D2757"/>
    <w:rsid w:val="001D54E4"/>
    <w:rsid w:val="001D611A"/>
    <w:rsid w:val="001E71EE"/>
    <w:rsid w:val="001E7310"/>
    <w:rsid w:val="001F39A3"/>
    <w:rsid w:val="001F3D30"/>
    <w:rsid w:val="001F47C8"/>
    <w:rsid w:val="0020171E"/>
    <w:rsid w:val="0020308B"/>
    <w:rsid w:val="00203B5C"/>
    <w:rsid w:val="00205283"/>
    <w:rsid w:val="002064B6"/>
    <w:rsid w:val="002113BD"/>
    <w:rsid w:val="002115D4"/>
    <w:rsid w:val="002142D7"/>
    <w:rsid w:val="002153F1"/>
    <w:rsid w:val="002154A8"/>
    <w:rsid w:val="00221CCF"/>
    <w:rsid w:val="0022388F"/>
    <w:rsid w:val="00227ADC"/>
    <w:rsid w:val="00234159"/>
    <w:rsid w:val="002348ED"/>
    <w:rsid w:val="0023638B"/>
    <w:rsid w:val="00240549"/>
    <w:rsid w:val="00241A69"/>
    <w:rsid w:val="00250395"/>
    <w:rsid w:val="002521F3"/>
    <w:rsid w:val="00253B90"/>
    <w:rsid w:val="00254A1C"/>
    <w:rsid w:val="0025511A"/>
    <w:rsid w:val="00262AD1"/>
    <w:rsid w:val="0026372C"/>
    <w:rsid w:val="00267622"/>
    <w:rsid w:val="00272153"/>
    <w:rsid w:val="00273073"/>
    <w:rsid w:val="00273BA1"/>
    <w:rsid w:val="002757B6"/>
    <w:rsid w:val="00276D3A"/>
    <w:rsid w:val="00280072"/>
    <w:rsid w:val="00280779"/>
    <w:rsid w:val="00282EBC"/>
    <w:rsid w:val="002945B4"/>
    <w:rsid w:val="00295A39"/>
    <w:rsid w:val="00297E44"/>
    <w:rsid w:val="002A04C1"/>
    <w:rsid w:val="002A3250"/>
    <w:rsid w:val="002A3BAC"/>
    <w:rsid w:val="002A5913"/>
    <w:rsid w:val="002A75CB"/>
    <w:rsid w:val="002B1C2A"/>
    <w:rsid w:val="002C0696"/>
    <w:rsid w:val="002C392B"/>
    <w:rsid w:val="002C4E15"/>
    <w:rsid w:val="002D16C9"/>
    <w:rsid w:val="002D1F2D"/>
    <w:rsid w:val="002D3840"/>
    <w:rsid w:val="002D3E0C"/>
    <w:rsid w:val="002D43F0"/>
    <w:rsid w:val="002D7075"/>
    <w:rsid w:val="002E2D69"/>
    <w:rsid w:val="002E5887"/>
    <w:rsid w:val="002F312D"/>
    <w:rsid w:val="002F45A5"/>
    <w:rsid w:val="00301DDE"/>
    <w:rsid w:val="00303799"/>
    <w:rsid w:val="00310C12"/>
    <w:rsid w:val="00312632"/>
    <w:rsid w:val="003133A0"/>
    <w:rsid w:val="00316166"/>
    <w:rsid w:val="00316463"/>
    <w:rsid w:val="00317C88"/>
    <w:rsid w:val="003250A1"/>
    <w:rsid w:val="003250D4"/>
    <w:rsid w:val="0032670A"/>
    <w:rsid w:val="00326E6D"/>
    <w:rsid w:val="003315D3"/>
    <w:rsid w:val="00335E47"/>
    <w:rsid w:val="00343509"/>
    <w:rsid w:val="00343F5C"/>
    <w:rsid w:val="00345A38"/>
    <w:rsid w:val="00352648"/>
    <w:rsid w:val="00354FD0"/>
    <w:rsid w:val="00356D2A"/>
    <w:rsid w:val="003576E8"/>
    <w:rsid w:val="00357E7B"/>
    <w:rsid w:val="00361064"/>
    <w:rsid w:val="00366FB6"/>
    <w:rsid w:val="00366FD3"/>
    <w:rsid w:val="00380C79"/>
    <w:rsid w:val="003814E4"/>
    <w:rsid w:val="00383576"/>
    <w:rsid w:val="00383D52"/>
    <w:rsid w:val="00390A93"/>
    <w:rsid w:val="00391689"/>
    <w:rsid w:val="00393F38"/>
    <w:rsid w:val="003A3064"/>
    <w:rsid w:val="003A4FCE"/>
    <w:rsid w:val="003B1D5C"/>
    <w:rsid w:val="003B6A8D"/>
    <w:rsid w:val="003C188B"/>
    <w:rsid w:val="003C5B2F"/>
    <w:rsid w:val="003C7973"/>
    <w:rsid w:val="003D418E"/>
    <w:rsid w:val="003D6DF6"/>
    <w:rsid w:val="003E014C"/>
    <w:rsid w:val="003E11EB"/>
    <w:rsid w:val="003E22F1"/>
    <w:rsid w:val="003E36C5"/>
    <w:rsid w:val="003E3758"/>
    <w:rsid w:val="003E5648"/>
    <w:rsid w:val="003E7832"/>
    <w:rsid w:val="003F08F7"/>
    <w:rsid w:val="003F0E5F"/>
    <w:rsid w:val="003F3057"/>
    <w:rsid w:val="003F6A50"/>
    <w:rsid w:val="003F6DAB"/>
    <w:rsid w:val="003F77E1"/>
    <w:rsid w:val="004017C9"/>
    <w:rsid w:val="00405FB9"/>
    <w:rsid w:val="00410B83"/>
    <w:rsid w:val="00411DD5"/>
    <w:rsid w:val="00412051"/>
    <w:rsid w:val="004201D6"/>
    <w:rsid w:val="00420581"/>
    <w:rsid w:val="00423E48"/>
    <w:rsid w:val="0042453B"/>
    <w:rsid w:val="00426B86"/>
    <w:rsid w:val="00433269"/>
    <w:rsid w:val="00436B5A"/>
    <w:rsid w:val="0045064D"/>
    <w:rsid w:val="00453E03"/>
    <w:rsid w:val="00460234"/>
    <w:rsid w:val="004607C3"/>
    <w:rsid w:val="00462C67"/>
    <w:rsid w:val="004630A2"/>
    <w:rsid w:val="004647EF"/>
    <w:rsid w:val="00464FFA"/>
    <w:rsid w:val="00466B42"/>
    <w:rsid w:val="00467782"/>
    <w:rsid w:val="00473F42"/>
    <w:rsid w:val="0047758A"/>
    <w:rsid w:val="0048337A"/>
    <w:rsid w:val="0049112C"/>
    <w:rsid w:val="00491EDE"/>
    <w:rsid w:val="00494F48"/>
    <w:rsid w:val="004959CC"/>
    <w:rsid w:val="004A2778"/>
    <w:rsid w:val="004B005D"/>
    <w:rsid w:val="004C4DCF"/>
    <w:rsid w:val="004C697A"/>
    <w:rsid w:val="004C75D5"/>
    <w:rsid w:val="004C75FF"/>
    <w:rsid w:val="004D305E"/>
    <w:rsid w:val="004D78FD"/>
    <w:rsid w:val="004E1906"/>
    <w:rsid w:val="004F0B75"/>
    <w:rsid w:val="004F1C69"/>
    <w:rsid w:val="004F479D"/>
    <w:rsid w:val="004F5FD0"/>
    <w:rsid w:val="004F7064"/>
    <w:rsid w:val="004F73FD"/>
    <w:rsid w:val="00500C8A"/>
    <w:rsid w:val="00502742"/>
    <w:rsid w:val="0050335F"/>
    <w:rsid w:val="005070D5"/>
    <w:rsid w:val="005118A9"/>
    <w:rsid w:val="00513D8F"/>
    <w:rsid w:val="0051477D"/>
    <w:rsid w:val="00514B45"/>
    <w:rsid w:val="00520A34"/>
    <w:rsid w:val="00525B83"/>
    <w:rsid w:val="00530164"/>
    <w:rsid w:val="005304FF"/>
    <w:rsid w:val="00531DD0"/>
    <w:rsid w:val="005343C0"/>
    <w:rsid w:val="0053780F"/>
    <w:rsid w:val="0054151A"/>
    <w:rsid w:val="00546266"/>
    <w:rsid w:val="00550980"/>
    <w:rsid w:val="00550DD3"/>
    <w:rsid w:val="00550E45"/>
    <w:rsid w:val="00551214"/>
    <w:rsid w:val="005570C5"/>
    <w:rsid w:val="00557F54"/>
    <w:rsid w:val="00560FDE"/>
    <w:rsid w:val="00561389"/>
    <w:rsid w:val="00565A51"/>
    <w:rsid w:val="0057237B"/>
    <w:rsid w:val="0057372D"/>
    <w:rsid w:val="0057500F"/>
    <w:rsid w:val="00576A87"/>
    <w:rsid w:val="00586ACD"/>
    <w:rsid w:val="0059175F"/>
    <w:rsid w:val="005944F4"/>
    <w:rsid w:val="005A5F2E"/>
    <w:rsid w:val="005A64AB"/>
    <w:rsid w:val="005A6A83"/>
    <w:rsid w:val="005A7688"/>
    <w:rsid w:val="005A7772"/>
    <w:rsid w:val="005B18AB"/>
    <w:rsid w:val="005B4A80"/>
    <w:rsid w:val="005B5079"/>
    <w:rsid w:val="005B73DC"/>
    <w:rsid w:val="005B7FF8"/>
    <w:rsid w:val="005C120E"/>
    <w:rsid w:val="005C49D8"/>
    <w:rsid w:val="005D06B1"/>
    <w:rsid w:val="005D09E1"/>
    <w:rsid w:val="005D28D0"/>
    <w:rsid w:val="005D57F9"/>
    <w:rsid w:val="005D66CF"/>
    <w:rsid w:val="005E05AF"/>
    <w:rsid w:val="005E0CBA"/>
    <w:rsid w:val="005E2262"/>
    <w:rsid w:val="005E27D3"/>
    <w:rsid w:val="005E30CC"/>
    <w:rsid w:val="005E424C"/>
    <w:rsid w:val="005E5517"/>
    <w:rsid w:val="005E62A1"/>
    <w:rsid w:val="006002B6"/>
    <w:rsid w:val="00600EAF"/>
    <w:rsid w:val="00604555"/>
    <w:rsid w:val="00606572"/>
    <w:rsid w:val="0060717A"/>
    <w:rsid w:val="00614BE5"/>
    <w:rsid w:val="00615A5E"/>
    <w:rsid w:val="00617907"/>
    <w:rsid w:val="0062249B"/>
    <w:rsid w:val="00630558"/>
    <w:rsid w:val="00633ACB"/>
    <w:rsid w:val="0063792C"/>
    <w:rsid w:val="0064323D"/>
    <w:rsid w:val="00643B5F"/>
    <w:rsid w:val="0064485A"/>
    <w:rsid w:val="00652C6B"/>
    <w:rsid w:val="00655A36"/>
    <w:rsid w:val="006572E3"/>
    <w:rsid w:val="006636B9"/>
    <w:rsid w:val="006645E7"/>
    <w:rsid w:val="0066731B"/>
    <w:rsid w:val="006708B1"/>
    <w:rsid w:val="006728FE"/>
    <w:rsid w:val="006753E3"/>
    <w:rsid w:val="00676DC1"/>
    <w:rsid w:val="00677AA5"/>
    <w:rsid w:val="006825BE"/>
    <w:rsid w:val="006877DB"/>
    <w:rsid w:val="00693789"/>
    <w:rsid w:val="006961CD"/>
    <w:rsid w:val="00696918"/>
    <w:rsid w:val="006A1388"/>
    <w:rsid w:val="006A1A3C"/>
    <w:rsid w:val="006A4761"/>
    <w:rsid w:val="006A6718"/>
    <w:rsid w:val="006B2680"/>
    <w:rsid w:val="006B3A12"/>
    <w:rsid w:val="006B4833"/>
    <w:rsid w:val="006B61D8"/>
    <w:rsid w:val="006C0045"/>
    <w:rsid w:val="006C1A24"/>
    <w:rsid w:val="006C4419"/>
    <w:rsid w:val="006C6E7F"/>
    <w:rsid w:val="006E36DD"/>
    <w:rsid w:val="006E43E7"/>
    <w:rsid w:val="006E6169"/>
    <w:rsid w:val="006F4493"/>
    <w:rsid w:val="006F4AE5"/>
    <w:rsid w:val="006F7052"/>
    <w:rsid w:val="0070043F"/>
    <w:rsid w:val="00701FC5"/>
    <w:rsid w:val="00713BB3"/>
    <w:rsid w:val="00713FDE"/>
    <w:rsid w:val="00720C28"/>
    <w:rsid w:val="0072341B"/>
    <w:rsid w:val="00732682"/>
    <w:rsid w:val="00735880"/>
    <w:rsid w:val="00736D16"/>
    <w:rsid w:val="00740F96"/>
    <w:rsid w:val="00745850"/>
    <w:rsid w:val="00750122"/>
    <w:rsid w:val="007512E2"/>
    <w:rsid w:val="0075392B"/>
    <w:rsid w:val="0075491E"/>
    <w:rsid w:val="007565C2"/>
    <w:rsid w:val="0075673E"/>
    <w:rsid w:val="00756D4C"/>
    <w:rsid w:val="0076184E"/>
    <w:rsid w:val="00761E93"/>
    <w:rsid w:val="0076506C"/>
    <w:rsid w:val="00766A2E"/>
    <w:rsid w:val="0076749D"/>
    <w:rsid w:val="007700B9"/>
    <w:rsid w:val="0077159D"/>
    <w:rsid w:val="00772643"/>
    <w:rsid w:val="007772EF"/>
    <w:rsid w:val="0077749A"/>
    <w:rsid w:val="00777762"/>
    <w:rsid w:val="00780484"/>
    <w:rsid w:val="00784EA9"/>
    <w:rsid w:val="00787BA7"/>
    <w:rsid w:val="007947A8"/>
    <w:rsid w:val="00794A01"/>
    <w:rsid w:val="00795BD9"/>
    <w:rsid w:val="0079658E"/>
    <w:rsid w:val="00796FC3"/>
    <w:rsid w:val="007A3C8B"/>
    <w:rsid w:val="007A4324"/>
    <w:rsid w:val="007B2314"/>
    <w:rsid w:val="007B399C"/>
    <w:rsid w:val="007B61E4"/>
    <w:rsid w:val="007B67E1"/>
    <w:rsid w:val="007B6BE8"/>
    <w:rsid w:val="007B7049"/>
    <w:rsid w:val="007B7847"/>
    <w:rsid w:val="007C1E3C"/>
    <w:rsid w:val="007C4A0E"/>
    <w:rsid w:val="007C7289"/>
    <w:rsid w:val="007D039E"/>
    <w:rsid w:val="007E2377"/>
    <w:rsid w:val="007E4E63"/>
    <w:rsid w:val="007E4F82"/>
    <w:rsid w:val="007E6815"/>
    <w:rsid w:val="007F292F"/>
    <w:rsid w:val="007F3777"/>
    <w:rsid w:val="007F4AB0"/>
    <w:rsid w:val="007F7792"/>
    <w:rsid w:val="007F7923"/>
    <w:rsid w:val="00800894"/>
    <w:rsid w:val="00802760"/>
    <w:rsid w:val="00805B81"/>
    <w:rsid w:val="0081096B"/>
    <w:rsid w:val="0081349E"/>
    <w:rsid w:val="008149D0"/>
    <w:rsid w:val="00816003"/>
    <w:rsid w:val="00821647"/>
    <w:rsid w:val="00821BEB"/>
    <w:rsid w:val="008256D5"/>
    <w:rsid w:val="00831CF9"/>
    <w:rsid w:val="00837CC6"/>
    <w:rsid w:val="008416D7"/>
    <w:rsid w:val="00841D4B"/>
    <w:rsid w:val="00842F6B"/>
    <w:rsid w:val="00843645"/>
    <w:rsid w:val="00846C28"/>
    <w:rsid w:val="00855328"/>
    <w:rsid w:val="00857D8C"/>
    <w:rsid w:val="008633C8"/>
    <w:rsid w:val="00870631"/>
    <w:rsid w:val="008715B7"/>
    <w:rsid w:val="00871FBD"/>
    <w:rsid w:val="00873C55"/>
    <w:rsid w:val="008747FE"/>
    <w:rsid w:val="0087689C"/>
    <w:rsid w:val="0088151C"/>
    <w:rsid w:val="00884969"/>
    <w:rsid w:val="008855F9"/>
    <w:rsid w:val="0088587A"/>
    <w:rsid w:val="008873FB"/>
    <w:rsid w:val="00891141"/>
    <w:rsid w:val="00894672"/>
    <w:rsid w:val="00896D9A"/>
    <w:rsid w:val="00897C3C"/>
    <w:rsid w:val="00897E30"/>
    <w:rsid w:val="008A4ACD"/>
    <w:rsid w:val="008A4D32"/>
    <w:rsid w:val="008A6FBD"/>
    <w:rsid w:val="008B3C8F"/>
    <w:rsid w:val="008B6A31"/>
    <w:rsid w:val="008C034D"/>
    <w:rsid w:val="008C4C93"/>
    <w:rsid w:val="008C730E"/>
    <w:rsid w:val="008D1C25"/>
    <w:rsid w:val="008D41D3"/>
    <w:rsid w:val="008D6D15"/>
    <w:rsid w:val="008E505B"/>
    <w:rsid w:val="008F2BBF"/>
    <w:rsid w:val="008F2DB0"/>
    <w:rsid w:val="008F3AE5"/>
    <w:rsid w:val="008F6496"/>
    <w:rsid w:val="009005CA"/>
    <w:rsid w:val="00901F85"/>
    <w:rsid w:val="00903647"/>
    <w:rsid w:val="00905DE7"/>
    <w:rsid w:val="009071AC"/>
    <w:rsid w:val="009157D7"/>
    <w:rsid w:val="00916331"/>
    <w:rsid w:val="009167A8"/>
    <w:rsid w:val="009237C3"/>
    <w:rsid w:val="0092582E"/>
    <w:rsid w:val="009301E1"/>
    <w:rsid w:val="009306F3"/>
    <w:rsid w:val="00930FD7"/>
    <w:rsid w:val="00931B73"/>
    <w:rsid w:val="00940F27"/>
    <w:rsid w:val="009425F1"/>
    <w:rsid w:val="00943D8E"/>
    <w:rsid w:val="009467D2"/>
    <w:rsid w:val="00954EB2"/>
    <w:rsid w:val="009607C8"/>
    <w:rsid w:val="009626FD"/>
    <w:rsid w:val="0096284A"/>
    <w:rsid w:val="00967C58"/>
    <w:rsid w:val="009704C0"/>
    <w:rsid w:val="00970C8A"/>
    <w:rsid w:val="009721C1"/>
    <w:rsid w:val="00972976"/>
    <w:rsid w:val="00981C0B"/>
    <w:rsid w:val="00982913"/>
    <w:rsid w:val="009829EA"/>
    <w:rsid w:val="00983CDF"/>
    <w:rsid w:val="0098598F"/>
    <w:rsid w:val="00986AEA"/>
    <w:rsid w:val="00991368"/>
    <w:rsid w:val="009963D5"/>
    <w:rsid w:val="009B206C"/>
    <w:rsid w:val="009B50AD"/>
    <w:rsid w:val="009B7C71"/>
    <w:rsid w:val="009C10BF"/>
    <w:rsid w:val="009C1EE7"/>
    <w:rsid w:val="009C3681"/>
    <w:rsid w:val="009C5CE5"/>
    <w:rsid w:val="009C6FF4"/>
    <w:rsid w:val="009C733A"/>
    <w:rsid w:val="009C736A"/>
    <w:rsid w:val="009D06CE"/>
    <w:rsid w:val="009D2455"/>
    <w:rsid w:val="009D30A7"/>
    <w:rsid w:val="009D3F62"/>
    <w:rsid w:val="009E2929"/>
    <w:rsid w:val="009E2F1D"/>
    <w:rsid w:val="009E30F0"/>
    <w:rsid w:val="009E6A00"/>
    <w:rsid w:val="009E78BA"/>
    <w:rsid w:val="009F0EA7"/>
    <w:rsid w:val="009F33D8"/>
    <w:rsid w:val="009F4726"/>
    <w:rsid w:val="009F51E3"/>
    <w:rsid w:val="009F5866"/>
    <w:rsid w:val="00A02FED"/>
    <w:rsid w:val="00A03C1C"/>
    <w:rsid w:val="00A05686"/>
    <w:rsid w:val="00A10B86"/>
    <w:rsid w:val="00A1270D"/>
    <w:rsid w:val="00A13130"/>
    <w:rsid w:val="00A2088C"/>
    <w:rsid w:val="00A30BFD"/>
    <w:rsid w:val="00A344CE"/>
    <w:rsid w:val="00A345E8"/>
    <w:rsid w:val="00A42A2C"/>
    <w:rsid w:val="00A448AD"/>
    <w:rsid w:val="00A458BE"/>
    <w:rsid w:val="00A47DE5"/>
    <w:rsid w:val="00A50DEC"/>
    <w:rsid w:val="00A60FE5"/>
    <w:rsid w:val="00A64198"/>
    <w:rsid w:val="00A646A7"/>
    <w:rsid w:val="00A64D04"/>
    <w:rsid w:val="00A7324E"/>
    <w:rsid w:val="00A74579"/>
    <w:rsid w:val="00A74BC6"/>
    <w:rsid w:val="00A755C3"/>
    <w:rsid w:val="00A76074"/>
    <w:rsid w:val="00A77D04"/>
    <w:rsid w:val="00A81E55"/>
    <w:rsid w:val="00A820ED"/>
    <w:rsid w:val="00A84C4E"/>
    <w:rsid w:val="00A85824"/>
    <w:rsid w:val="00A91261"/>
    <w:rsid w:val="00A954AB"/>
    <w:rsid w:val="00AA04BB"/>
    <w:rsid w:val="00AA3367"/>
    <w:rsid w:val="00AA3A8D"/>
    <w:rsid w:val="00AA560C"/>
    <w:rsid w:val="00AA687C"/>
    <w:rsid w:val="00AB3050"/>
    <w:rsid w:val="00AB3760"/>
    <w:rsid w:val="00AB78D2"/>
    <w:rsid w:val="00AC26EC"/>
    <w:rsid w:val="00AC4423"/>
    <w:rsid w:val="00AC50CF"/>
    <w:rsid w:val="00AC5C69"/>
    <w:rsid w:val="00AD1002"/>
    <w:rsid w:val="00AD3C9A"/>
    <w:rsid w:val="00AD7E65"/>
    <w:rsid w:val="00AE0DE6"/>
    <w:rsid w:val="00AE331A"/>
    <w:rsid w:val="00AE7CC4"/>
    <w:rsid w:val="00AF02EA"/>
    <w:rsid w:val="00AF6CE3"/>
    <w:rsid w:val="00B00163"/>
    <w:rsid w:val="00B01583"/>
    <w:rsid w:val="00B03BF0"/>
    <w:rsid w:val="00B0522D"/>
    <w:rsid w:val="00B066EA"/>
    <w:rsid w:val="00B068CB"/>
    <w:rsid w:val="00B07E55"/>
    <w:rsid w:val="00B117D3"/>
    <w:rsid w:val="00B1290E"/>
    <w:rsid w:val="00B160D8"/>
    <w:rsid w:val="00B16B8B"/>
    <w:rsid w:val="00B17531"/>
    <w:rsid w:val="00B20F06"/>
    <w:rsid w:val="00B317B5"/>
    <w:rsid w:val="00B3502A"/>
    <w:rsid w:val="00B36FE6"/>
    <w:rsid w:val="00B40686"/>
    <w:rsid w:val="00B40A3C"/>
    <w:rsid w:val="00B46ECB"/>
    <w:rsid w:val="00B51082"/>
    <w:rsid w:val="00B54509"/>
    <w:rsid w:val="00B61133"/>
    <w:rsid w:val="00B61E0D"/>
    <w:rsid w:val="00B62641"/>
    <w:rsid w:val="00B62D0E"/>
    <w:rsid w:val="00B63DCA"/>
    <w:rsid w:val="00B65553"/>
    <w:rsid w:val="00B66563"/>
    <w:rsid w:val="00B716F9"/>
    <w:rsid w:val="00B72D6B"/>
    <w:rsid w:val="00B74C41"/>
    <w:rsid w:val="00B76A50"/>
    <w:rsid w:val="00B76CE0"/>
    <w:rsid w:val="00B76EA5"/>
    <w:rsid w:val="00B808B1"/>
    <w:rsid w:val="00B8090B"/>
    <w:rsid w:val="00B90E96"/>
    <w:rsid w:val="00B91EE7"/>
    <w:rsid w:val="00B925A2"/>
    <w:rsid w:val="00B92837"/>
    <w:rsid w:val="00B9352C"/>
    <w:rsid w:val="00B95336"/>
    <w:rsid w:val="00B95E92"/>
    <w:rsid w:val="00B96DBB"/>
    <w:rsid w:val="00B97CA8"/>
    <w:rsid w:val="00BA0B8C"/>
    <w:rsid w:val="00BA46EE"/>
    <w:rsid w:val="00BA5901"/>
    <w:rsid w:val="00BB01DB"/>
    <w:rsid w:val="00BB147B"/>
    <w:rsid w:val="00BB3440"/>
    <w:rsid w:val="00BB3B3B"/>
    <w:rsid w:val="00BB4475"/>
    <w:rsid w:val="00BB5637"/>
    <w:rsid w:val="00BB5B6D"/>
    <w:rsid w:val="00BB7AF3"/>
    <w:rsid w:val="00BC0CE5"/>
    <w:rsid w:val="00BC10A2"/>
    <w:rsid w:val="00BC123B"/>
    <w:rsid w:val="00BC2AA5"/>
    <w:rsid w:val="00BC3670"/>
    <w:rsid w:val="00BC3BA5"/>
    <w:rsid w:val="00BC7DE9"/>
    <w:rsid w:val="00BD3630"/>
    <w:rsid w:val="00BD397C"/>
    <w:rsid w:val="00BD446B"/>
    <w:rsid w:val="00BD5F83"/>
    <w:rsid w:val="00BE3780"/>
    <w:rsid w:val="00BF0AFA"/>
    <w:rsid w:val="00BF0ECD"/>
    <w:rsid w:val="00BF24F3"/>
    <w:rsid w:val="00C007F3"/>
    <w:rsid w:val="00C037CC"/>
    <w:rsid w:val="00C045FD"/>
    <w:rsid w:val="00C07128"/>
    <w:rsid w:val="00C23444"/>
    <w:rsid w:val="00C23FF6"/>
    <w:rsid w:val="00C259CD"/>
    <w:rsid w:val="00C3418C"/>
    <w:rsid w:val="00C35E7E"/>
    <w:rsid w:val="00C36261"/>
    <w:rsid w:val="00C41428"/>
    <w:rsid w:val="00C4254A"/>
    <w:rsid w:val="00C43A77"/>
    <w:rsid w:val="00C44FEA"/>
    <w:rsid w:val="00C501B2"/>
    <w:rsid w:val="00C5198A"/>
    <w:rsid w:val="00C51B18"/>
    <w:rsid w:val="00C524C6"/>
    <w:rsid w:val="00C57DA0"/>
    <w:rsid w:val="00C65AF6"/>
    <w:rsid w:val="00C66C97"/>
    <w:rsid w:val="00C72C9F"/>
    <w:rsid w:val="00C815D9"/>
    <w:rsid w:val="00C837FD"/>
    <w:rsid w:val="00C84F4F"/>
    <w:rsid w:val="00C92016"/>
    <w:rsid w:val="00C9225E"/>
    <w:rsid w:val="00CB6ABB"/>
    <w:rsid w:val="00CB7735"/>
    <w:rsid w:val="00CB77EA"/>
    <w:rsid w:val="00CC1F48"/>
    <w:rsid w:val="00CC2D88"/>
    <w:rsid w:val="00CC42E7"/>
    <w:rsid w:val="00CC50ED"/>
    <w:rsid w:val="00CC5437"/>
    <w:rsid w:val="00CC682C"/>
    <w:rsid w:val="00CD21CF"/>
    <w:rsid w:val="00CD57F4"/>
    <w:rsid w:val="00CD5A72"/>
    <w:rsid w:val="00CD68BF"/>
    <w:rsid w:val="00CD7A0D"/>
    <w:rsid w:val="00CE24D7"/>
    <w:rsid w:val="00CE3833"/>
    <w:rsid w:val="00CE3BBC"/>
    <w:rsid w:val="00CE4878"/>
    <w:rsid w:val="00CE494C"/>
    <w:rsid w:val="00CE664F"/>
    <w:rsid w:val="00D018A2"/>
    <w:rsid w:val="00D05DC3"/>
    <w:rsid w:val="00D11A36"/>
    <w:rsid w:val="00D12633"/>
    <w:rsid w:val="00D139FD"/>
    <w:rsid w:val="00D141A0"/>
    <w:rsid w:val="00D14AF4"/>
    <w:rsid w:val="00D16AE8"/>
    <w:rsid w:val="00D175CB"/>
    <w:rsid w:val="00D17633"/>
    <w:rsid w:val="00D25CC4"/>
    <w:rsid w:val="00D2615B"/>
    <w:rsid w:val="00D27F74"/>
    <w:rsid w:val="00D335E0"/>
    <w:rsid w:val="00D35E4A"/>
    <w:rsid w:val="00D406F3"/>
    <w:rsid w:val="00D41F37"/>
    <w:rsid w:val="00D42603"/>
    <w:rsid w:val="00D4557D"/>
    <w:rsid w:val="00D53F50"/>
    <w:rsid w:val="00D54FAA"/>
    <w:rsid w:val="00D628FE"/>
    <w:rsid w:val="00D6482A"/>
    <w:rsid w:val="00D649B4"/>
    <w:rsid w:val="00D816F4"/>
    <w:rsid w:val="00D82F88"/>
    <w:rsid w:val="00D833B4"/>
    <w:rsid w:val="00D8368F"/>
    <w:rsid w:val="00D8484B"/>
    <w:rsid w:val="00D85FA9"/>
    <w:rsid w:val="00D92931"/>
    <w:rsid w:val="00D92F2E"/>
    <w:rsid w:val="00D941F9"/>
    <w:rsid w:val="00D942EC"/>
    <w:rsid w:val="00D94C2E"/>
    <w:rsid w:val="00D9663C"/>
    <w:rsid w:val="00DA7186"/>
    <w:rsid w:val="00DA762B"/>
    <w:rsid w:val="00DB05AF"/>
    <w:rsid w:val="00DB0FE7"/>
    <w:rsid w:val="00DB2EB7"/>
    <w:rsid w:val="00DB412E"/>
    <w:rsid w:val="00DB5DBF"/>
    <w:rsid w:val="00DB6C6E"/>
    <w:rsid w:val="00DB73F1"/>
    <w:rsid w:val="00DB7EB4"/>
    <w:rsid w:val="00DC09D5"/>
    <w:rsid w:val="00DC2FF5"/>
    <w:rsid w:val="00DC4A5A"/>
    <w:rsid w:val="00DC4E62"/>
    <w:rsid w:val="00DC51A3"/>
    <w:rsid w:val="00DD18F4"/>
    <w:rsid w:val="00DD3EBB"/>
    <w:rsid w:val="00DE059B"/>
    <w:rsid w:val="00DE07FA"/>
    <w:rsid w:val="00DE1100"/>
    <w:rsid w:val="00DE17E0"/>
    <w:rsid w:val="00DE19DB"/>
    <w:rsid w:val="00DE599D"/>
    <w:rsid w:val="00DF1377"/>
    <w:rsid w:val="00DF4070"/>
    <w:rsid w:val="00E00FC4"/>
    <w:rsid w:val="00E03200"/>
    <w:rsid w:val="00E04274"/>
    <w:rsid w:val="00E0528B"/>
    <w:rsid w:val="00E07042"/>
    <w:rsid w:val="00E105F5"/>
    <w:rsid w:val="00E15F6B"/>
    <w:rsid w:val="00E162BB"/>
    <w:rsid w:val="00E1720A"/>
    <w:rsid w:val="00E213B3"/>
    <w:rsid w:val="00E22E2C"/>
    <w:rsid w:val="00E27181"/>
    <w:rsid w:val="00E32103"/>
    <w:rsid w:val="00E33368"/>
    <w:rsid w:val="00E34D14"/>
    <w:rsid w:val="00E35FFC"/>
    <w:rsid w:val="00E44E72"/>
    <w:rsid w:val="00E4641C"/>
    <w:rsid w:val="00E477C7"/>
    <w:rsid w:val="00E47B26"/>
    <w:rsid w:val="00E537C5"/>
    <w:rsid w:val="00E53B17"/>
    <w:rsid w:val="00E57E7D"/>
    <w:rsid w:val="00E601EE"/>
    <w:rsid w:val="00E655E7"/>
    <w:rsid w:val="00E67085"/>
    <w:rsid w:val="00E678D0"/>
    <w:rsid w:val="00E70733"/>
    <w:rsid w:val="00E71EC7"/>
    <w:rsid w:val="00E721E1"/>
    <w:rsid w:val="00E73FA5"/>
    <w:rsid w:val="00E779BE"/>
    <w:rsid w:val="00E81688"/>
    <w:rsid w:val="00E877B0"/>
    <w:rsid w:val="00E87CD1"/>
    <w:rsid w:val="00E920F6"/>
    <w:rsid w:val="00E925EF"/>
    <w:rsid w:val="00E94EBF"/>
    <w:rsid w:val="00E950FF"/>
    <w:rsid w:val="00E9613C"/>
    <w:rsid w:val="00E96A71"/>
    <w:rsid w:val="00E96AF9"/>
    <w:rsid w:val="00E97A5E"/>
    <w:rsid w:val="00EA24A0"/>
    <w:rsid w:val="00EA439F"/>
    <w:rsid w:val="00EA6273"/>
    <w:rsid w:val="00EA7300"/>
    <w:rsid w:val="00EA7DA9"/>
    <w:rsid w:val="00EB18DB"/>
    <w:rsid w:val="00EB2CDB"/>
    <w:rsid w:val="00EB4439"/>
    <w:rsid w:val="00EB6AEB"/>
    <w:rsid w:val="00EC05EA"/>
    <w:rsid w:val="00EC6545"/>
    <w:rsid w:val="00EC693A"/>
    <w:rsid w:val="00EC7768"/>
    <w:rsid w:val="00ED0742"/>
    <w:rsid w:val="00ED0D8C"/>
    <w:rsid w:val="00ED1671"/>
    <w:rsid w:val="00ED1A32"/>
    <w:rsid w:val="00ED3AEC"/>
    <w:rsid w:val="00ED3C6F"/>
    <w:rsid w:val="00ED74DB"/>
    <w:rsid w:val="00EE0FD0"/>
    <w:rsid w:val="00EE133C"/>
    <w:rsid w:val="00EE3987"/>
    <w:rsid w:val="00EE3CF5"/>
    <w:rsid w:val="00EE4055"/>
    <w:rsid w:val="00EE4853"/>
    <w:rsid w:val="00EE5C5D"/>
    <w:rsid w:val="00EE656A"/>
    <w:rsid w:val="00EF009F"/>
    <w:rsid w:val="00EF3E23"/>
    <w:rsid w:val="00EF411C"/>
    <w:rsid w:val="00F0515D"/>
    <w:rsid w:val="00F05390"/>
    <w:rsid w:val="00F0733F"/>
    <w:rsid w:val="00F11DF1"/>
    <w:rsid w:val="00F1317A"/>
    <w:rsid w:val="00F147FA"/>
    <w:rsid w:val="00F14B29"/>
    <w:rsid w:val="00F21C23"/>
    <w:rsid w:val="00F25216"/>
    <w:rsid w:val="00F253D3"/>
    <w:rsid w:val="00F26226"/>
    <w:rsid w:val="00F32594"/>
    <w:rsid w:val="00F439D2"/>
    <w:rsid w:val="00F44F9E"/>
    <w:rsid w:val="00F46A80"/>
    <w:rsid w:val="00F50C96"/>
    <w:rsid w:val="00F51ECC"/>
    <w:rsid w:val="00F5266E"/>
    <w:rsid w:val="00F61BBA"/>
    <w:rsid w:val="00F65C73"/>
    <w:rsid w:val="00F70A1F"/>
    <w:rsid w:val="00F74020"/>
    <w:rsid w:val="00F77C8A"/>
    <w:rsid w:val="00F80A38"/>
    <w:rsid w:val="00F83C91"/>
    <w:rsid w:val="00F9378B"/>
    <w:rsid w:val="00F93C54"/>
    <w:rsid w:val="00F9553A"/>
    <w:rsid w:val="00F97644"/>
    <w:rsid w:val="00FA271E"/>
    <w:rsid w:val="00FA2BCE"/>
    <w:rsid w:val="00FA2FFF"/>
    <w:rsid w:val="00FA3D8D"/>
    <w:rsid w:val="00FA7031"/>
    <w:rsid w:val="00FB4183"/>
    <w:rsid w:val="00FB5183"/>
    <w:rsid w:val="00FB6370"/>
    <w:rsid w:val="00FC2AB0"/>
    <w:rsid w:val="00FC5475"/>
    <w:rsid w:val="00FC6463"/>
    <w:rsid w:val="00FC6DAB"/>
    <w:rsid w:val="00FC715D"/>
    <w:rsid w:val="00FD1981"/>
    <w:rsid w:val="00FD50BA"/>
    <w:rsid w:val="00FE0750"/>
    <w:rsid w:val="00FE13FE"/>
    <w:rsid w:val="00FE15BB"/>
    <w:rsid w:val="00FE1FBC"/>
    <w:rsid w:val="00FE205C"/>
    <w:rsid w:val="00FE4A6D"/>
    <w:rsid w:val="00FF270F"/>
    <w:rsid w:val="00FF60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49538D"/>
  <w14:defaultImageDpi w14:val="32767"/>
  <w15:docId w15:val="{E3A3F505-B7B1-42EB-90B3-6A50BFE6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CE494C"/>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9301E1"/>
    <w:pPr>
      <w:keepNext/>
      <w:outlineLvl w:val="1"/>
    </w:pPr>
    <w:rPr>
      <w:b/>
      <w:u w:val="single"/>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99"/>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character" w:styleId="HTMLCite">
    <w:name w:val="HTML Cite"/>
    <w:basedOn w:val="DefaultParagraphFont"/>
    <w:uiPriority w:val="99"/>
    <w:semiHidden/>
    <w:unhideWhenUsed/>
    <w:rsid w:val="002E2D69"/>
    <w:rPr>
      <w:i/>
      <w:iCs/>
    </w:rPr>
  </w:style>
  <w:style w:type="paragraph" w:styleId="NormalWeb">
    <w:name w:val="Normal (Web)"/>
    <w:basedOn w:val="Normal"/>
    <w:uiPriority w:val="99"/>
    <w:semiHidden/>
    <w:unhideWhenUsed/>
    <w:rsid w:val="00B36FE6"/>
    <w:pPr>
      <w:spacing w:before="100" w:beforeAutospacing="1" w:after="100" w:afterAutospacing="1"/>
    </w:pPr>
    <w:rPr>
      <w:rFonts w:ascii="Times New Roman" w:eastAsia="Times New Roman" w:hAnsi="Times New Roman"/>
      <w:sz w:val="24"/>
      <w:szCs w:val="24"/>
      <w:lang w:eastAsia="en-GB"/>
    </w:rPr>
  </w:style>
  <w:style w:type="character" w:styleId="UnresolvedMention">
    <w:name w:val="Unresolved Mention"/>
    <w:basedOn w:val="DefaultParagraphFont"/>
    <w:uiPriority w:val="99"/>
    <w:semiHidden/>
    <w:unhideWhenUsed/>
    <w:rsid w:val="00DC2FF5"/>
    <w:rPr>
      <w:color w:val="605E5C"/>
      <w:shd w:val="clear" w:color="auto" w:fill="E1DFDD"/>
    </w:rPr>
  </w:style>
  <w:style w:type="paragraph" w:customStyle="1" w:styleId="BulletNew">
    <w:name w:val="Bullet New"/>
    <w:basedOn w:val="BBClause2"/>
    <w:uiPriority w:val="99"/>
    <w:qFormat/>
    <w:rsid w:val="006B61D8"/>
    <w:pPr>
      <w:numPr>
        <w:ilvl w:val="2"/>
        <w:numId w:val="13"/>
      </w:numPr>
    </w:pPr>
    <w:rPr>
      <w:color w:val="000000" w:themeColor="text1"/>
    </w:rPr>
  </w:style>
  <w:style w:type="character" w:styleId="Strong">
    <w:name w:val="Strong"/>
    <w:basedOn w:val="DefaultParagraphFont"/>
    <w:uiPriority w:val="22"/>
    <w:qFormat/>
    <w:rsid w:val="006B3A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4.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963"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GB.XSL" StyleName="GB7714"/>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AK2ZMWYHZNRD-2128999959-2780</_dlc_DocId>
    <_dlc_DocIdUrl xmlns="a213c276-2966-4a61-88a3-9acec9d9c2c2">
      <Url>https://beisgov.sharepoint.com/sites/GBECompany-EXT-OS-GBELocal/_layouts/15/DocIdRedir.aspx?ID=AK2ZMWYHZNRD-2128999959-2780</Url>
      <Description>AK2ZMWYHZNRD-2128999959-2780</Description>
    </_dlc_DocIdUrl>
  </documentManagement>
</p:properties>
</file>

<file path=customXml/itemProps1.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2.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3.xml><?xml version="1.0" encoding="utf-8"?>
<ds:datastoreItem xmlns:ds="http://schemas.openxmlformats.org/officeDocument/2006/customXml" ds:itemID="{361DF4BD-11C6-4C8A-A33E-637ADC06CFE8}"/>
</file>

<file path=customXml/itemProps4.xml><?xml version="1.0" encoding="utf-8"?>
<ds:datastoreItem xmlns:ds="http://schemas.openxmlformats.org/officeDocument/2006/customXml" ds:itemID="{01FDAD0D-56F4-45D3-966F-1AF263D51D96}"/>
</file>

<file path=customXml/itemProps5.xml><?xml version="1.0" encoding="utf-8"?>
<ds:datastoreItem xmlns:ds="http://schemas.openxmlformats.org/officeDocument/2006/customXml" ds:itemID="{CCD473FD-218B-4C17-B2FB-AD4960080CF3}"/>
</file>

<file path=customXml/itemProps6.xml><?xml version="1.0" encoding="utf-8"?>
<ds:datastoreItem xmlns:ds="http://schemas.openxmlformats.org/officeDocument/2006/customXml" ds:itemID="{27EE60CA-2267-42FB-A631-40BADC665C1D}"/>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1</TotalTime>
  <Pages>17</Pages>
  <Words>6089</Words>
  <Characters>34223</Characters>
  <Application>Microsoft Office Word</Application>
  <DocSecurity>0</DocSecurity>
  <Lines>684</Lines>
  <Paragraphs>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and Bird</dc:creator>
  <cp:lastModifiedBy>Rachel Savin</cp:lastModifiedBy>
  <cp:revision>3</cp:revision>
  <cp:lastPrinted>2026-02-24T10:19:00Z</cp:lastPrinted>
  <dcterms:created xsi:type="dcterms:W3CDTF">2026-03-27T16:53:00Z</dcterms:created>
  <dcterms:modified xsi:type="dcterms:W3CDTF">2026-03-27T16:53:00Z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94223286</vt:lpwstr>
  </property>
  <property fmtid="{D5CDD505-2E9C-101B-9397-08002B2CF9AE}" pid="7" name="BBIManageDocVersion">
    <vt:lpwstr>1</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Guidance - Service Contract</vt:lpwstr>
  </property>
  <property fmtid="{D5CDD505-2E9C-101B-9397-08002B2CF9AE}" pid="13" name="BBIManageDocFolder">
    <vt:lpwstr>[This will be updated on save or print]</vt:lpwstr>
  </property>
  <property fmtid="{D5CDD505-2E9C-101B-9397-08002B2CF9AE}" pid="14" name="BBDocRef">
    <vt:lpwstr>Matters\94223286.1</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b239c2ba-ba8b-43fc-ad04-1154ab302507</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