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7A361C" w14:textId="77777777" w:rsidR="009815E8" w:rsidRPr="00CF6E45" w:rsidRDefault="009815E8" w:rsidP="007F48A5">
      <w:pPr>
        <w:pStyle w:val="Footer"/>
        <w:spacing w:line="276" w:lineRule="auto"/>
        <w:rPr>
          <w:rFonts w:ascii="Georgia" w:hAnsi="Georgia"/>
          <w:sz w:val="22"/>
        </w:rPr>
      </w:pPr>
    </w:p>
    <w:p w14:paraId="637AB732" w14:textId="77777777" w:rsidR="00A0424A" w:rsidRPr="00CF6E45" w:rsidRDefault="00A0424A" w:rsidP="007F48A5">
      <w:pPr>
        <w:pStyle w:val="BodyText1"/>
        <w:spacing w:line="276" w:lineRule="auto"/>
        <w:jc w:val="center"/>
        <w:rPr>
          <w:rFonts w:ascii="Georgia" w:hAnsi="Georgia" w:cstheme="majorHAnsi"/>
          <w:sz w:val="22"/>
        </w:rPr>
      </w:pPr>
    </w:p>
    <w:p w14:paraId="75D2EFFF" w14:textId="77777777" w:rsidR="00300D43" w:rsidRPr="00CF6E45" w:rsidRDefault="00300D43" w:rsidP="007F48A5">
      <w:pPr>
        <w:pStyle w:val="BodyText1"/>
        <w:spacing w:after="180" w:line="276" w:lineRule="auto"/>
        <w:jc w:val="center"/>
        <w:rPr>
          <w:rFonts w:ascii="Georgia" w:hAnsi="Georgia" w:cstheme="majorHAnsi"/>
          <w:sz w:val="22"/>
        </w:rPr>
      </w:pPr>
    </w:p>
    <w:p w14:paraId="384E0CFD" w14:textId="77777777" w:rsidR="00300D43" w:rsidRPr="00CF6E45" w:rsidRDefault="00C425A1" w:rsidP="007F48A5">
      <w:pPr>
        <w:pStyle w:val="BodyText1"/>
        <w:spacing w:after="180" w:line="276" w:lineRule="auto"/>
        <w:jc w:val="center"/>
        <w:rPr>
          <w:rFonts w:ascii="Georgia" w:hAnsi="Georgia" w:cstheme="majorHAnsi"/>
          <w:sz w:val="22"/>
        </w:rPr>
      </w:pPr>
      <w:r w:rsidRPr="00CF6E45">
        <w:rPr>
          <w:rFonts w:ascii="Georgia" w:hAnsi="Georgia"/>
          <w:noProof/>
          <w:sz w:val="22"/>
        </w:rPr>
        <w:drawing>
          <wp:inline distT="0" distB="0" distL="0" distR="0" wp14:anchorId="521336B2" wp14:editId="46263117">
            <wp:extent cx="3703979" cy="1143285"/>
            <wp:effectExtent l="0" t="0" r="0" b="0"/>
            <wp:docPr id="1510853083" name="Picture 1" descr="A blue and green tex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0853083" name="Picture 1"/>
                    <pic:cNvPicPr/>
                  </pic:nvPicPr>
                  <pic:blipFill>
                    <a:blip r:embed="rId7">
                      <a:extLst>
                        <a:ext uri="{28A0092B-C50C-407E-A947-70E740481C1C}">
                          <a14:useLocalDpi xmlns:a14="http://schemas.microsoft.com/office/drawing/2010/main" val="0"/>
                        </a:ext>
                      </a:extLst>
                    </a:blip>
                    <a:stretch>
                      <a:fillRect/>
                    </a:stretch>
                  </pic:blipFill>
                  <pic:spPr>
                    <a:xfrm>
                      <a:off x="0" y="0"/>
                      <a:ext cx="3747490" cy="1156715"/>
                    </a:xfrm>
                    <a:prstGeom prst="rect">
                      <a:avLst/>
                    </a:prstGeom>
                  </pic:spPr>
                </pic:pic>
              </a:graphicData>
            </a:graphic>
          </wp:inline>
        </w:drawing>
      </w:r>
    </w:p>
    <w:p w14:paraId="2555096C" w14:textId="77777777" w:rsidR="00300D43" w:rsidRPr="00CF6E45" w:rsidRDefault="00300D43" w:rsidP="007F48A5">
      <w:pPr>
        <w:pStyle w:val="BodyText1"/>
        <w:spacing w:after="180" w:line="276" w:lineRule="auto"/>
        <w:jc w:val="center"/>
        <w:rPr>
          <w:rFonts w:ascii="Georgia" w:hAnsi="Georgia" w:cstheme="majorHAnsi"/>
          <w:sz w:val="22"/>
        </w:rPr>
      </w:pPr>
    </w:p>
    <w:p w14:paraId="0A21D297" w14:textId="77777777" w:rsidR="004B1AED" w:rsidRPr="00CF6E45" w:rsidRDefault="004B1AED" w:rsidP="007F48A5">
      <w:pPr>
        <w:pStyle w:val="BodyText1"/>
        <w:spacing w:after="180" w:line="276" w:lineRule="auto"/>
        <w:jc w:val="center"/>
        <w:rPr>
          <w:rFonts w:ascii="Georgia" w:hAnsi="Georgia" w:cstheme="majorHAnsi"/>
          <w:sz w:val="22"/>
        </w:rPr>
      </w:pPr>
    </w:p>
    <w:p w14:paraId="471CF5FE" w14:textId="77777777" w:rsidR="004B1AED" w:rsidRPr="00CF6E45" w:rsidRDefault="004B1AED" w:rsidP="007F48A5">
      <w:pPr>
        <w:pStyle w:val="BodyText"/>
        <w:pBdr>
          <w:top w:val="single" w:sz="4" w:space="1" w:color="auto"/>
        </w:pBdr>
        <w:spacing w:line="276" w:lineRule="auto"/>
        <w:ind w:left="2410" w:right="2363"/>
        <w:jc w:val="center"/>
        <w:rPr>
          <w:rFonts w:ascii="Georgia" w:hAnsi="Georgia"/>
          <w:sz w:val="22"/>
        </w:rPr>
      </w:pPr>
    </w:p>
    <w:p w14:paraId="3D15DDDA" w14:textId="77777777" w:rsidR="004B1AED" w:rsidRPr="00CF6E45" w:rsidRDefault="004B1AED" w:rsidP="007F48A5">
      <w:pPr>
        <w:pStyle w:val="BodyText"/>
        <w:spacing w:line="276" w:lineRule="auto"/>
        <w:jc w:val="center"/>
        <w:rPr>
          <w:rFonts w:ascii="Georgia" w:hAnsi="Georgia"/>
          <w:b/>
          <w:sz w:val="22"/>
        </w:rPr>
      </w:pPr>
      <w:r w:rsidRPr="00CF6E45">
        <w:rPr>
          <w:rFonts w:ascii="Georgia" w:hAnsi="Georgia"/>
          <w:b/>
          <w:sz w:val="22"/>
        </w:rPr>
        <w:t>GREAT BRITISH ENERGY</w:t>
      </w:r>
    </w:p>
    <w:p w14:paraId="0AECC01A" w14:textId="6B798463" w:rsidR="004B1AED" w:rsidRPr="00CF6E45" w:rsidRDefault="004B1AED" w:rsidP="007F48A5">
      <w:pPr>
        <w:pStyle w:val="BodyText"/>
        <w:spacing w:line="276" w:lineRule="auto"/>
        <w:jc w:val="center"/>
        <w:rPr>
          <w:rFonts w:ascii="Georgia" w:hAnsi="Georgia"/>
          <w:b/>
          <w:sz w:val="22"/>
        </w:rPr>
      </w:pPr>
      <w:r w:rsidRPr="00CF6E45">
        <w:rPr>
          <w:rFonts w:ascii="Georgia" w:hAnsi="Georgia" w:cstheme="majorHAnsi"/>
          <w:b/>
          <w:bCs/>
          <w:sz w:val="22"/>
        </w:rPr>
        <w:t xml:space="preserve">SCOTTISH SHARE SECURITY </w:t>
      </w:r>
      <w:r w:rsidRPr="00CF6E45">
        <w:rPr>
          <w:rFonts w:ascii="Georgia" w:hAnsi="Georgia"/>
          <w:b/>
          <w:sz w:val="22"/>
        </w:rPr>
        <w:t>– LEGAL GUIDANCE</w:t>
      </w:r>
    </w:p>
    <w:p w14:paraId="379258FF" w14:textId="77777777" w:rsidR="004B1AED" w:rsidRPr="00CF6E45" w:rsidRDefault="004B1AED" w:rsidP="007F48A5">
      <w:pPr>
        <w:pStyle w:val="BodyText"/>
        <w:pBdr>
          <w:bottom w:val="single" w:sz="4" w:space="1" w:color="auto"/>
        </w:pBdr>
        <w:spacing w:line="276" w:lineRule="auto"/>
        <w:ind w:left="2410" w:right="2364"/>
        <w:jc w:val="center"/>
        <w:rPr>
          <w:rFonts w:ascii="Georgia" w:hAnsi="Georgia"/>
          <w:sz w:val="22"/>
        </w:rPr>
      </w:pPr>
    </w:p>
    <w:p w14:paraId="046D0748" w14:textId="77777777" w:rsidR="004B1AED" w:rsidRPr="00CF6E45" w:rsidRDefault="004B1AED" w:rsidP="007F48A5">
      <w:pPr>
        <w:pStyle w:val="BodyText"/>
        <w:spacing w:line="276" w:lineRule="auto"/>
        <w:jc w:val="center"/>
        <w:rPr>
          <w:rFonts w:ascii="Georgia" w:hAnsi="Georgia"/>
          <w:sz w:val="22"/>
        </w:rPr>
      </w:pPr>
    </w:p>
    <w:p w14:paraId="1FDB9CD9" w14:textId="77777777" w:rsidR="004B1AED" w:rsidRPr="00CF6E45" w:rsidRDefault="004B1AED" w:rsidP="007F48A5">
      <w:pPr>
        <w:pStyle w:val="BodyText1"/>
        <w:spacing w:afterLines="20" w:after="48" w:line="276" w:lineRule="auto"/>
        <w:jc w:val="center"/>
        <w:rPr>
          <w:rFonts w:ascii="Georgia" w:hAnsi="Georgia" w:cstheme="majorHAnsi"/>
          <w:b/>
          <w:bCs/>
          <w:sz w:val="22"/>
        </w:rPr>
      </w:pPr>
    </w:p>
    <w:p w14:paraId="660F7DEC" w14:textId="77777777" w:rsidR="00AD1F3A" w:rsidRPr="00CF6E45" w:rsidRDefault="00AD1F3A" w:rsidP="007F48A5">
      <w:pPr>
        <w:pStyle w:val="BodyText1"/>
        <w:spacing w:afterLines="20" w:after="48" w:line="276" w:lineRule="auto"/>
        <w:jc w:val="center"/>
        <w:rPr>
          <w:rFonts w:ascii="Georgia" w:hAnsi="Georgia" w:cstheme="majorHAnsi"/>
          <w:sz w:val="22"/>
        </w:rPr>
        <w:sectPr w:rsidR="00AD1F3A" w:rsidRPr="00CF6E45" w:rsidSect="00390251">
          <w:headerReference w:type="even" r:id="rId8"/>
          <w:headerReference w:type="default" r:id="rId9"/>
          <w:footerReference w:type="even" r:id="rId10"/>
          <w:footerReference w:type="default" r:id="rId11"/>
          <w:headerReference w:type="first" r:id="rId12"/>
          <w:footerReference w:type="first" r:id="rId13"/>
          <w:pgSz w:w="11906" w:h="16838"/>
          <w:pgMar w:top="1440" w:right="1134" w:bottom="1440" w:left="1134" w:header="709" w:footer="709" w:gutter="0"/>
          <w:paperSrc w:first="260" w:other="260"/>
          <w:cols w:space="708"/>
          <w:titlePg/>
          <w:docGrid w:linePitch="360"/>
        </w:sectPr>
      </w:pPr>
    </w:p>
    <w:sdt>
      <w:sdtPr>
        <w:rPr>
          <w:rFonts w:ascii="Georgia" w:hAnsi="Georgia"/>
          <w:sz w:val="22"/>
        </w:rPr>
        <w:id w:val="1261572595"/>
        <w:docPartObj>
          <w:docPartGallery w:val="Table of Contents"/>
          <w:docPartUnique/>
        </w:docPartObj>
      </w:sdtPr>
      <w:sdtEndPr>
        <w:rPr>
          <w:b/>
        </w:rPr>
      </w:sdtEndPr>
      <w:sdtContent>
        <w:p w14:paraId="100F598A" w14:textId="77777777" w:rsidR="00787F68" w:rsidRPr="00B752C3" w:rsidRDefault="00C425A1" w:rsidP="00B752C3">
          <w:pPr>
            <w:pStyle w:val="TOC1"/>
            <w:spacing w:line="240" w:lineRule="auto"/>
            <w:rPr>
              <w:rFonts w:ascii="Georgia" w:hAnsi="Georgia"/>
              <w:b/>
              <w:bCs/>
              <w:sz w:val="22"/>
            </w:rPr>
          </w:pPr>
          <w:r w:rsidRPr="00B752C3">
            <w:rPr>
              <w:rFonts w:ascii="Georgia" w:hAnsi="Georgia"/>
              <w:b/>
              <w:bCs/>
              <w:sz w:val="22"/>
            </w:rPr>
            <w:t>CONTENTS</w:t>
          </w:r>
        </w:p>
        <w:p w14:paraId="3F551493" w14:textId="3E033461" w:rsidR="00787F68" w:rsidRPr="00B752C3" w:rsidRDefault="00787F68" w:rsidP="00B752C3">
          <w:pPr>
            <w:rPr>
              <w:rFonts w:ascii="Georgia" w:hAnsi="Georgia"/>
              <w:b/>
              <w:bCs/>
              <w:sz w:val="22"/>
            </w:rPr>
          </w:pPr>
          <w:r w:rsidRPr="00B752C3">
            <w:rPr>
              <w:rFonts w:ascii="Georgia" w:hAnsi="Georgia"/>
              <w:b/>
              <w:bCs/>
              <w:sz w:val="22"/>
            </w:rPr>
            <w:t>Clause Heading</w:t>
          </w:r>
          <w:r w:rsidRPr="00B752C3">
            <w:rPr>
              <w:rFonts w:ascii="Georgia" w:hAnsi="Georgia"/>
              <w:b/>
              <w:bCs/>
              <w:sz w:val="22"/>
            </w:rPr>
            <w:tab/>
          </w:r>
          <w:r w:rsidRPr="00B752C3">
            <w:rPr>
              <w:rFonts w:ascii="Georgia" w:hAnsi="Georgia"/>
              <w:b/>
              <w:bCs/>
              <w:sz w:val="22"/>
            </w:rPr>
            <w:tab/>
          </w:r>
          <w:r w:rsidRPr="00B752C3">
            <w:rPr>
              <w:rFonts w:ascii="Georgia" w:hAnsi="Georgia"/>
              <w:b/>
              <w:bCs/>
              <w:sz w:val="22"/>
            </w:rPr>
            <w:tab/>
          </w:r>
          <w:r w:rsidRPr="00B752C3">
            <w:rPr>
              <w:rFonts w:ascii="Georgia" w:hAnsi="Georgia"/>
              <w:b/>
              <w:bCs/>
              <w:sz w:val="22"/>
            </w:rPr>
            <w:tab/>
          </w:r>
          <w:r w:rsidRPr="00B752C3">
            <w:rPr>
              <w:rFonts w:ascii="Georgia" w:hAnsi="Georgia"/>
              <w:b/>
              <w:bCs/>
              <w:sz w:val="22"/>
            </w:rPr>
            <w:tab/>
          </w:r>
          <w:r w:rsidRPr="00B752C3">
            <w:rPr>
              <w:rFonts w:ascii="Georgia" w:hAnsi="Georgia"/>
              <w:b/>
              <w:bCs/>
              <w:sz w:val="22"/>
            </w:rPr>
            <w:tab/>
          </w:r>
          <w:r w:rsidRPr="00B752C3">
            <w:rPr>
              <w:rFonts w:ascii="Georgia" w:hAnsi="Georgia"/>
              <w:b/>
              <w:bCs/>
              <w:sz w:val="22"/>
            </w:rPr>
            <w:tab/>
          </w:r>
          <w:r w:rsidRPr="00B752C3">
            <w:rPr>
              <w:rFonts w:ascii="Georgia" w:hAnsi="Georgia"/>
              <w:b/>
              <w:bCs/>
              <w:sz w:val="22"/>
            </w:rPr>
            <w:tab/>
          </w:r>
          <w:r w:rsidRPr="00B752C3">
            <w:rPr>
              <w:rFonts w:ascii="Georgia" w:hAnsi="Georgia"/>
              <w:b/>
              <w:bCs/>
              <w:sz w:val="22"/>
            </w:rPr>
            <w:tab/>
          </w:r>
          <w:r w:rsidRPr="00B752C3">
            <w:rPr>
              <w:rFonts w:ascii="Georgia" w:hAnsi="Georgia"/>
              <w:b/>
              <w:bCs/>
              <w:sz w:val="22"/>
            </w:rPr>
            <w:tab/>
            <w:t xml:space="preserve">Page </w:t>
          </w:r>
        </w:p>
        <w:p w14:paraId="7B5EC67C" w14:textId="5F04343E" w:rsidR="00976937" w:rsidRPr="00B752C3" w:rsidRDefault="00AA770E" w:rsidP="00B752C3">
          <w:pPr>
            <w:rPr>
              <w:rFonts w:ascii="Georgia" w:hAnsi="Georgia"/>
              <w:sz w:val="22"/>
            </w:rPr>
          </w:pPr>
        </w:p>
      </w:sdtContent>
    </w:sdt>
    <w:p w14:paraId="5C255D28" w14:textId="20710821" w:rsidR="00CF6E45" w:rsidRPr="00B752C3" w:rsidRDefault="00C425A1" w:rsidP="00B752C3">
      <w:pPr>
        <w:pStyle w:val="TOC1"/>
        <w:spacing w:line="240" w:lineRule="auto"/>
        <w:rPr>
          <w:rFonts w:ascii="Georgia" w:eastAsiaTheme="minorEastAsia" w:hAnsi="Georgia"/>
          <w:noProof/>
          <w:color w:val="auto"/>
          <w:kern w:val="2"/>
          <w:sz w:val="22"/>
          <w:lang w:eastAsia="en-GB"/>
          <w14:ligatures w14:val="standardContextual"/>
        </w:rPr>
      </w:pPr>
      <w:r w:rsidRPr="00B752C3">
        <w:rPr>
          <w:rFonts w:ascii="Georgia" w:hAnsi="Georgia"/>
          <w:b/>
          <w:sz w:val="22"/>
        </w:rPr>
        <w:fldChar w:fldCharType="begin"/>
      </w:r>
      <w:r w:rsidRPr="00B752C3">
        <w:rPr>
          <w:rFonts w:ascii="Georgia" w:hAnsi="Georgia"/>
          <w:b/>
          <w:sz w:val="22"/>
        </w:rPr>
        <w:instrText xml:space="preserve"> TOC \h \z \t "Level 1 Heading,1,Schedule,1,Part,1" </w:instrText>
      </w:r>
      <w:r w:rsidRPr="00B752C3">
        <w:rPr>
          <w:rFonts w:ascii="Georgia" w:hAnsi="Georgia"/>
          <w:b/>
          <w:sz w:val="22"/>
        </w:rPr>
        <w:fldChar w:fldCharType="separate"/>
      </w:r>
      <w:hyperlink w:anchor="_Toc227247506" w:history="1">
        <w:r w:rsidR="00CF6E45" w:rsidRPr="00B752C3">
          <w:rPr>
            <w:rStyle w:val="Hyperlink"/>
            <w:rFonts w:ascii="Georgia" w:hAnsi="Georgia"/>
            <w:noProof/>
            <w:sz w:val="22"/>
          </w:rPr>
          <w:t>1</w:t>
        </w:r>
        <w:r w:rsidR="00CF6E45" w:rsidRPr="00B752C3">
          <w:rPr>
            <w:rFonts w:ascii="Georgia" w:eastAsiaTheme="minorEastAsia" w:hAnsi="Georgia"/>
            <w:noProof/>
            <w:color w:val="auto"/>
            <w:kern w:val="2"/>
            <w:sz w:val="22"/>
            <w:lang w:eastAsia="en-GB"/>
            <w14:ligatures w14:val="standardContextual"/>
          </w:rPr>
          <w:tab/>
        </w:r>
        <w:r w:rsidR="00CF6E45" w:rsidRPr="00B752C3">
          <w:rPr>
            <w:rStyle w:val="Hyperlink"/>
            <w:rFonts w:ascii="Georgia" w:hAnsi="Georgia"/>
            <w:noProof/>
            <w:sz w:val="22"/>
          </w:rPr>
          <w:t>Introduction</w:t>
        </w:r>
        <w:r w:rsidR="00CF6E45" w:rsidRPr="00B752C3">
          <w:rPr>
            <w:rFonts w:ascii="Georgia" w:hAnsi="Georgia"/>
            <w:noProof/>
            <w:webHidden/>
            <w:sz w:val="22"/>
          </w:rPr>
          <w:tab/>
        </w:r>
        <w:r w:rsidR="00CF6E45" w:rsidRPr="00B752C3">
          <w:rPr>
            <w:rFonts w:ascii="Georgia" w:hAnsi="Georgia"/>
            <w:noProof/>
            <w:webHidden/>
            <w:sz w:val="22"/>
          </w:rPr>
          <w:fldChar w:fldCharType="begin"/>
        </w:r>
        <w:r w:rsidR="00CF6E45" w:rsidRPr="00B752C3">
          <w:rPr>
            <w:rFonts w:ascii="Georgia" w:hAnsi="Georgia"/>
            <w:noProof/>
            <w:webHidden/>
            <w:sz w:val="22"/>
          </w:rPr>
          <w:instrText xml:space="preserve"> PAGEREF _Toc227247506 \h </w:instrText>
        </w:r>
        <w:r w:rsidR="00CF6E45" w:rsidRPr="00B752C3">
          <w:rPr>
            <w:rFonts w:ascii="Georgia" w:hAnsi="Georgia"/>
            <w:noProof/>
            <w:webHidden/>
            <w:sz w:val="22"/>
          </w:rPr>
        </w:r>
        <w:r w:rsidR="00CF6E45" w:rsidRPr="00B752C3">
          <w:rPr>
            <w:rFonts w:ascii="Georgia" w:hAnsi="Georgia"/>
            <w:noProof/>
            <w:webHidden/>
            <w:sz w:val="22"/>
          </w:rPr>
          <w:fldChar w:fldCharType="separate"/>
        </w:r>
        <w:r w:rsidR="00CF6E45" w:rsidRPr="00B752C3">
          <w:rPr>
            <w:rFonts w:ascii="Georgia" w:hAnsi="Georgia"/>
            <w:noProof/>
            <w:webHidden/>
            <w:sz w:val="22"/>
          </w:rPr>
          <w:t>2</w:t>
        </w:r>
        <w:r w:rsidR="00CF6E45" w:rsidRPr="00B752C3">
          <w:rPr>
            <w:rFonts w:ascii="Georgia" w:hAnsi="Georgia"/>
            <w:noProof/>
            <w:webHidden/>
            <w:sz w:val="22"/>
          </w:rPr>
          <w:fldChar w:fldCharType="end"/>
        </w:r>
      </w:hyperlink>
    </w:p>
    <w:p w14:paraId="20739E27" w14:textId="72902131" w:rsidR="00CF6E45" w:rsidRPr="00B752C3" w:rsidRDefault="00CF6E45" w:rsidP="00B752C3">
      <w:pPr>
        <w:pStyle w:val="TOC1"/>
        <w:spacing w:line="240" w:lineRule="auto"/>
        <w:rPr>
          <w:rFonts w:ascii="Georgia" w:eastAsiaTheme="minorEastAsia" w:hAnsi="Georgia"/>
          <w:noProof/>
          <w:color w:val="auto"/>
          <w:kern w:val="2"/>
          <w:sz w:val="22"/>
          <w:lang w:eastAsia="en-GB"/>
          <w14:ligatures w14:val="standardContextual"/>
        </w:rPr>
      </w:pPr>
      <w:hyperlink w:anchor="_Toc227247507" w:history="1">
        <w:r w:rsidRPr="00B752C3">
          <w:rPr>
            <w:rStyle w:val="Hyperlink"/>
            <w:rFonts w:ascii="Georgia" w:hAnsi="Georgia"/>
            <w:noProof/>
            <w:sz w:val="22"/>
          </w:rPr>
          <w:t>2</w:t>
        </w:r>
        <w:r w:rsidRPr="00B752C3">
          <w:rPr>
            <w:rFonts w:ascii="Georgia" w:eastAsiaTheme="minorEastAsia" w:hAnsi="Georgia"/>
            <w:noProof/>
            <w:color w:val="auto"/>
            <w:kern w:val="2"/>
            <w:sz w:val="22"/>
            <w:lang w:eastAsia="en-GB"/>
            <w14:ligatures w14:val="standardContextual"/>
          </w:rPr>
          <w:tab/>
        </w:r>
        <w:r w:rsidRPr="00B752C3">
          <w:rPr>
            <w:rStyle w:val="Hyperlink"/>
            <w:rFonts w:ascii="Georgia" w:hAnsi="Georgia"/>
            <w:noProof/>
            <w:sz w:val="22"/>
          </w:rPr>
          <w:t>Use of Template and this Guidance</w:t>
        </w:r>
        <w:r w:rsidRPr="00B752C3">
          <w:rPr>
            <w:rFonts w:ascii="Georgia" w:hAnsi="Georgia"/>
            <w:noProof/>
            <w:webHidden/>
            <w:sz w:val="22"/>
          </w:rPr>
          <w:tab/>
        </w:r>
        <w:r w:rsidRPr="00B752C3">
          <w:rPr>
            <w:rFonts w:ascii="Georgia" w:hAnsi="Georgia"/>
            <w:noProof/>
            <w:webHidden/>
            <w:sz w:val="22"/>
          </w:rPr>
          <w:fldChar w:fldCharType="begin"/>
        </w:r>
        <w:r w:rsidRPr="00B752C3">
          <w:rPr>
            <w:rFonts w:ascii="Georgia" w:hAnsi="Georgia"/>
            <w:noProof/>
            <w:webHidden/>
            <w:sz w:val="22"/>
          </w:rPr>
          <w:instrText xml:space="preserve"> PAGEREF _Toc227247507 \h </w:instrText>
        </w:r>
        <w:r w:rsidRPr="00B752C3">
          <w:rPr>
            <w:rFonts w:ascii="Georgia" w:hAnsi="Georgia"/>
            <w:noProof/>
            <w:webHidden/>
            <w:sz w:val="22"/>
          </w:rPr>
        </w:r>
        <w:r w:rsidRPr="00B752C3">
          <w:rPr>
            <w:rFonts w:ascii="Georgia" w:hAnsi="Georgia"/>
            <w:noProof/>
            <w:webHidden/>
            <w:sz w:val="22"/>
          </w:rPr>
          <w:fldChar w:fldCharType="separate"/>
        </w:r>
        <w:r w:rsidRPr="00B752C3">
          <w:rPr>
            <w:rFonts w:ascii="Georgia" w:hAnsi="Georgia"/>
            <w:noProof/>
            <w:webHidden/>
            <w:sz w:val="22"/>
          </w:rPr>
          <w:t>4</w:t>
        </w:r>
        <w:r w:rsidRPr="00B752C3">
          <w:rPr>
            <w:rFonts w:ascii="Georgia" w:hAnsi="Georgia"/>
            <w:noProof/>
            <w:webHidden/>
            <w:sz w:val="22"/>
          </w:rPr>
          <w:fldChar w:fldCharType="end"/>
        </w:r>
      </w:hyperlink>
    </w:p>
    <w:p w14:paraId="0E86F0BF" w14:textId="7163D4F8" w:rsidR="00CF6E45" w:rsidRPr="00B752C3" w:rsidRDefault="00CF6E45" w:rsidP="00B752C3">
      <w:pPr>
        <w:pStyle w:val="TOC1"/>
        <w:spacing w:line="240" w:lineRule="auto"/>
        <w:rPr>
          <w:rFonts w:ascii="Georgia" w:eastAsiaTheme="minorEastAsia" w:hAnsi="Georgia"/>
          <w:noProof/>
          <w:color w:val="auto"/>
          <w:kern w:val="2"/>
          <w:sz w:val="22"/>
          <w:lang w:eastAsia="en-GB"/>
          <w14:ligatures w14:val="standardContextual"/>
        </w:rPr>
      </w:pPr>
      <w:hyperlink w:anchor="_Toc227247508" w:history="1">
        <w:r w:rsidRPr="00B752C3">
          <w:rPr>
            <w:rFonts w:ascii="Georgia" w:eastAsiaTheme="minorEastAsia" w:hAnsi="Georgia"/>
            <w:noProof/>
            <w:color w:val="auto"/>
            <w:kern w:val="2"/>
            <w:sz w:val="22"/>
            <w:lang w:eastAsia="en-GB"/>
            <w14:ligatures w14:val="standardContextual"/>
          </w:rPr>
          <w:tab/>
        </w:r>
        <w:r w:rsidRPr="00B752C3">
          <w:rPr>
            <w:rStyle w:val="Hyperlink"/>
            <w:rFonts w:ascii="Georgia" w:hAnsi="Georgia"/>
            <w:noProof/>
            <w:sz w:val="22"/>
          </w:rPr>
          <w:t>Glossary of Key Terms and Abbreviations</w:t>
        </w:r>
        <w:r w:rsidRPr="00B752C3">
          <w:rPr>
            <w:rFonts w:ascii="Georgia" w:hAnsi="Georgia"/>
            <w:noProof/>
            <w:webHidden/>
            <w:sz w:val="22"/>
          </w:rPr>
          <w:tab/>
        </w:r>
        <w:r w:rsidRPr="00B752C3">
          <w:rPr>
            <w:rFonts w:ascii="Georgia" w:hAnsi="Georgia"/>
            <w:noProof/>
            <w:webHidden/>
            <w:sz w:val="22"/>
          </w:rPr>
          <w:fldChar w:fldCharType="begin"/>
        </w:r>
        <w:r w:rsidRPr="00B752C3">
          <w:rPr>
            <w:rFonts w:ascii="Georgia" w:hAnsi="Georgia"/>
            <w:noProof/>
            <w:webHidden/>
            <w:sz w:val="22"/>
          </w:rPr>
          <w:instrText xml:space="preserve"> PAGEREF _Toc227247508 \h </w:instrText>
        </w:r>
        <w:r w:rsidRPr="00B752C3">
          <w:rPr>
            <w:rFonts w:ascii="Georgia" w:hAnsi="Georgia"/>
            <w:noProof/>
            <w:webHidden/>
            <w:sz w:val="22"/>
          </w:rPr>
        </w:r>
        <w:r w:rsidRPr="00B752C3">
          <w:rPr>
            <w:rFonts w:ascii="Georgia" w:hAnsi="Georgia"/>
            <w:noProof/>
            <w:webHidden/>
            <w:sz w:val="22"/>
          </w:rPr>
          <w:fldChar w:fldCharType="separate"/>
        </w:r>
        <w:r w:rsidRPr="00B752C3">
          <w:rPr>
            <w:rFonts w:ascii="Georgia" w:hAnsi="Georgia"/>
            <w:noProof/>
            <w:webHidden/>
            <w:sz w:val="22"/>
          </w:rPr>
          <w:t>5</w:t>
        </w:r>
        <w:r w:rsidRPr="00B752C3">
          <w:rPr>
            <w:rFonts w:ascii="Georgia" w:hAnsi="Georgia"/>
            <w:noProof/>
            <w:webHidden/>
            <w:sz w:val="22"/>
          </w:rPr>
          <w:fldChar w:fldCharType="end"/>
        </w:r>
      </w:hyperlink>
    </w:p>
    <w:p w14:paraId="69CE9A2A" w14:textId="53E91D26" w:rsidR="00CF6E45" w:rsidRPr="00B752C3" w:rsidRDefault="00CF6E45" w:rsidP="00B752C3">
      <w:pPr>
        <w:pStyle w:val="TOC1"/>
        <w:spacing w:line="240" w:lineRule="auto"/>
        <w:rPr>
          <w:rFonts w:ascii="Georgia" w:eastAsiaTheme="minorEastAsia" w:hAnsi="Georgia"/>
          <w:noProof/>
          <w:color w:val="auto"/>
          <w:kern w:val="2"/>
          <w:sz w:val="22"/>
          <w:lang w:eastAsia="en-GB"/>
          <w14:ligatures w14:val="standardContextual"/>
        </w:rPr>
      </w:pPr>
      <w:hyperlink w:anchor="_Toc227247509" w:history="1">
        <w:r w:rsidRPr="00B752C3">
          <w:rPr>
            <w:rStyle w:val="Hyperlink"/>
            <w:rFonts w:ascii="Georgia" w:hAnsi="Georgia"/>
            <w:noProof/>
            <w:sz w:val="22"/>
          </w:rPr>
          <w:t>4</w:t>
        </w:r>
        <w:r w:rsidRPr="00B752C3">
          <w:rPr>
            <w:rFonts w:ascii="Georgia" w:eastAsiaTheme="minorEastAsia" w:hAnsi="Georgia"/>
            <w:noProof/>
            <w:color w:val="auto"/>
            <w:kern w:val="2"/>
            <w:sz w:val="22"/>
            <w:lang w:eastAsia="en-GB"/>
            <w14:ligatures w14:val="standardContextual"/>
          </w:rPr>
          <w:tab/>
        </w:r>
        <w:r w:rsidRPr="00B752C3">
          <w:rPr>
            <w:rStyle w:val="Hyperlink"/>
            <w:rFonts w:ascii="Georgia" w:hAnsi="Georgia"/>
            <w:noProof/>
            <w:sz w:val="22"/>
          </w:rPr>
          <w:t>Clause-by-clause commentary</w:t>
        </w:r>
        <w:r w:rsidRPr="00B752C3">
          <w:rPr>
            <w:rFonts w:ascii="Georgia" w:hAnsi="Georgia"/>
            <w:noProof/>
            <w:webHidden/>
            <w:sz w:val="22"/>
          </w:rPr>
          <w:tab/>
        </w:r>
        <w:r w:rsidRPr="00B752C3">
          <w:rPr>
            <w:rFonts w:ascii="Georgia" w:hAnsi="Georgia"/>
            <w:noProof/>
            <w:webHidden/>
            <w:sz w:val="22"/>
          </w:rPr>
          <w:fldChar w:fldCharType="begin"/>
        </w:r>
        <w:r w:rsidRPr="00B752C3">
          <w:rPr>
            <w:rFonts w:ascii="Georgia" w:hAnsi="Georgia"/>
            <w:noProof/>
            <w:webHidden/>
            <w:sz w:val="22"/>
          </w:rPr>
          <w:instrText xml:space="preserve"> PAGEREF _Toc227247509 \h </w:instrText>
        </w:r>
        <w:r w:rsidRPr="00B752C3">
          <w:rPr>
            <w:rFonts w:ascii="Georgia" w:hAnsi="Georgia"/>
            <w:noProof/>
            <w:webHidden/>
            <w:sz w:val="22"/>
          </w:rPr>
        </w:r>
        <w:r w:rsidRPr="00B752C3">
          <w:rPr>
            <w:rFonts w:ascii="Georgia" w:hAnsi="Georgia"/>
            <w:noProof/>
            <w:webHidden/>
            <w:sz w:val="22"/>
          </w:rPr>
          <w:fldChar w:fldCharType="separate"/>
        </w:r>
        <w:r w:rsidRPr="00B752C3">
          <w:rPr>
            <w:rFonts w:ascii="Georgia" w:hAnsi="Georgia"/>
            <w:noProof/>
            <w:webHidden/>
            <w:sz w:val="22"/>
          </w:rPr>
          <w:t>6</w:t>
        </w:r>
        <w:r w:rsidRPr="00B752C3">
          <w:rPr>
            <w:rFonts w:ascii="Georgia" w:hAnsi="Georgia"/>
            <w:noProof/>
            <w:webHidden/>
            <w:sz w:val="22"/>
          </w:rPr>
          <w:fldChar w:fldCharType="end"/>
        </w:r>
      </w:hyperlink>
    </w:p>
    <w:p w14:paraId="28FD1C4B" w14:textId="35FD21BD" w:rsidR="00696C01" w:rsidRPr="00CF6E45" w:rsidRDefault="00C425A1" w:rsidP="00B752C3">
      <w:pPr>
        <w:pStyle w:val="BodyText1"/>
        <w:spacing w:line="240" w:lineRule="auto"/>
        <w:rPr>
          <w:rFonts w:ascii="Georgia" w:hAnsi="Georgia"/>
          <w:b/>
          <w:sz w:val="22"/>
        </w:rPr>
      </w:pPr>
      <w:r w:rsidRPr="00B752C3">
        <w:rPr>
          <w:rFonts w:ascii="Georgia" w:hAnsi="Georgia"/>
          <w:b/>
          <w:sz w:val="22"/>
        </w:rPr>
        <w:fldChar w:fldCharType="end"/>
      </w:r>
    </w:p>
    <w:p w14:paraId="113339CC" w14:textId="77777777" w:rsidR="00A712A1" w:rsidRPr="00CF6E45" w:rsidRDefault="00C425A1" w:rsidP="007F48A5">
      <w:pPr>
        <w:pStyle w:val="BodyText1"/>
        <w:spacing w:line="276" w:lineRule="auto"/>
        <w:rPr>
          <w:rFonts w:ascii="Georgia" w:hAnsi="Georgia"/>
          <w:sz w:val="22"/>
        </w:rPr>
      </w:pPr>
      <w:r w:rsidRPr="00CF6E45">
        <w:rPr>
          <w:rFonts w:ascii="Georgia" w:hAnsi="Georgia"/>
          <w:sz w:val="22"/>
        </w:rPr>
        <w:br w:type="page"/>
      </w:r>
    </w:p>
    <w:p w14:paraId="753D04B3" w14:textId="77777777" w:rsidR="008D19E8" w:rsidRPr="00CF6E45" w:rsidRDefault="00C425A1" w:rsidP="007F48A5">
      <w:pPr>
        <w:pStyle w:val="Level1Heading"/>
        <w:spacing w:line="276" w:lineRule="auto"/>
        <w:rPr>
          <w:rFonts w:ascii="Georgia" w:hAnsi="Georgia"/>
          <w:sz w:val="22"/>
        </w:rPr>
      </w:pPr>
      <w:bookmarkStart w:id="0" w:name="_Toc225172397"/>
      <w:bookmarkStart w:id="1" w:name="_Toc227247506"/>
      <w:bookmarkStart w:id="2" w:name="BrochetPasteInsertCopyThisRange"/>
      <w:r w:rsidRPr="00CF6E45">
        <w:rPr>
          <w:rFonts w:ascii="Georgia" w:hAnsi="Georgia"/>
          <w:sz w:val="22"/>
        </w:rPr>
        <w:lastRenderedPageBreak/>
        <w:t>Introduction</w:t>
      </w:r>
      <w:bookmarkEnd w:id="0"/>
      <w:bookmarkEnd w:id="1"/>
    </w:p>
    <w:p w14:paraId="40EA2CB5"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This guidance accompanies the template </w:t>
      </w:r>
      <w:r w:rsidR="000A6937" w:rsidRPr="00CF6E45">
        <w:rPr>
          <w:rFonts w:ascii="Georgia" w:hAnsi="Georgia"/>
          <w:sz w:val="22"/>
        </w:rPr>
        <w:t>Scottish Share Security</w:t>
      </w:r>
      <w:r w:rsidRPr="00CF6E45">
        <w:rPr>
          <w:rFonts w:ascii="Georgia" w:hAnsi="Georgia"/>
          <w:sz w:val="22"/>
        </w:rPr>
        <w:t xml:space="preserve"> (referred to as the </w:t>
      </w:r>
      <w:r w:rsidR="007A5ADE" w:rsidRPr="00CF6E45">
        <w:rPr>
          <w:rFonts w:ascii="Georgia" w:hAnsi="Georgia"/>
          <w:b/>
          <w:bCs/>
          <w:sz w:val="22"/>
        </w:rPr>
        <w:t>“</w:t>
      </w:r>
      <w:r w:rsidRPr="00CF6E45">
        <w:rPr>
          <w:rFonts w:ascii="Georgia" w:hAnsi="Georgia"/>
          <w:b/>
          <w:bCs/>
          <w:sz w:val="22"/>
        </w:rPr>
        <w:t xml:space="preserve">Share </w:t>
      </w:r>
      <w:r w:rsidR="000A6937" w:rsidRPr="00CF6E45">
        <w:rPr>
          <w:rFonts w:ascii="Georgia" w:hAnsi="Georgia"/>
          <w:b/>
          <w:bCs/>
          <w:sz w:val="22"/>
        </w:rPr>
        <w:t>Pledge</w:t>
      </w:r>
      <w:r w:rsidR="007A5ADE" w:rsidRPr="00CF6E45">
        <w:rPr>
          <w:rFonts w:ascii="Georgia" w:hAnsi="Georgia"/>
          <w:b/>
          <w:bCs/>
          <w:sz w:val="22"/>
        </w:rPr>
        <w:t>”</w:t>
      </w:r>
      <w:r w:rsidR="000A6937" w:rsidRPr="00CF6E45">
        <w:rPr>
          <w:rFonts w:ascii="Georgia" w:hAnsi="Georgia"/>
          <w:sz w:val="22"/>
        </w:rPr>
        <w:t xml:space="preserve"> or</w:t>
      </w:r>
      <w:r w:rsidRPr="00CF6E45">
        <w:rPr>
          <w:rFonts w:ascii="Georgia" w:hAnsi="Georgia"/>
          <w:sz w:val="22"/>
        </w:rPr>
        <w:t xml:space="preserve"> </w:t>
      </w:r>
      <w:r w:rsidR="007A5ADE" w:rsidRPr="00CF6E45">
        <w:rPr>
          <w:rFonts w:ascii="Georgia" w:hAnsi="Georgia"/>
          <w:b/>
          <w:bCs/>
          <w:sz w:val="22"/>
        </w:rPr>
        <w:t>“</w:t>
      </w:r>
      <w:r w:rsidRPr="00CF6E45">
        <w:rPr>
          <w:rFonts w:ascii="Georgia" w:hAnsi="Georgia"/>
          <w:b/>
          <w:bCs/>
          <w:sz w:val="22"/>
        </w:rPr>
        <w:t>Template</w:t>
      </w:r>
      <w:r w:rsidR="007A5ADE" w:rsidRPr="00CF6E45">
        <w:rPr>
          <w:rFonts w:ascii="Georgia" w:hAnsi="Georgia"/>
          <w:b/>
          <w:bCs/>
          <w:sz w:val="22"/>
        </w:rPr>
        <w:t>”</w:t>
      </w:r>
      <w:r w:rsidRPr="00CF6E45">
        <w:rPr>
          <w:rFonts w:ascii="Georgia" w:hAnsi="Georgia"/>
          <w:sz w:val="22"/>
        </w:rPr>
        <w:t xml:space="preserve"> in this guidance) for use in shared ownership projects involving a Developer and a Community Energy Group (</w:t>
      </w:r>
      <w:r w:rsidR="007A5ADE" w:rsidRPr="00CF6E45">
        <w:rPr>
          <w:rFonts w:ascii="Georgia" w:hAnsi="Georgia"/>
          <w:b/>
          <w:bCs/>
          <w:sz w:val="22"/>
        </w:rPr>
        <w:t>“</w:t>
      </w:r>
      <w:r w:rsidRPr="00CF6E45">
        <w:rPr>
          <w:rFonts w:ascii="Georgia" w:hAnsi="Georgia"/>
          <w:b/>
          <w:bCs/>
          <w:sz w:val="22"/>
        </w:rPr>
        <w:t>CEG</w:t>
      </w:r>
      <w:r w:rsidR="007A5ADE" w:rsidRPr="00CF6E45">
        <w:rPr>
          <w:rFonts w:ascii="Georgia" w:hAnsi="Georgia"/>
          <w:b/>
          <w:bCs/>
          <w:sz w:val="22"/>
        </w:rPr>
        <w:t>”</w:t>
      </w:r>
      <w:r w:rsidRPr="00CF6E45">
        <w:rPr>
          <w:rFonts w:ascii="Georgia" w:hAnsi="Georgia"/>
          <w:sz w:val="22"/>
        </w:rPr>
        <w:t>).</w:t>
      </w:r>
    </w:p>
    <w:p w14:paraId="72C1E1F5"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Share </w:t>
      </w:r>
      <w:r w:rsidR="000A6937" w:rsidRPr="00CF6E45">
        <w:rPr>
          <w:rFonts w:ascii="Georgia" w:hAnsi="Georgia"/>
          <w:sz w:val="22"/>
        </w:rPr>
        <w:t xml:space="preserve">Pledge </w:t>
      </w:r>
      <w:r w:rsidRPr="00CF6E45">
        <w:rPr>
          <w:rFonts w:ascii="Georgia" w:hAnsi="Georgia"/>
          <w:sz w:val="22"/>
        </w:rPr>
        <w:t xml:space="preserve">is a security document to be used where the CEG has provided a loan to a borrower. It provides the CEG (as lender) with fixed security from the shareholder in the borrowing entity (known as the </w:t>
      </w:r>
      <w:proofErr w:type="spellStart"/>
      <w:r w:rsidRPr="00CF6E45">
        <w:rPr>
          <w:rFonts w:ascii="Georgia" w:hAnsi="Georgia"/>
          <w:sz w:val="22"/>
        </w:rPr>
        <w:t>Chargor</w:t>
      </w:r>
      <w:proofErr w:type="spellEnd"/>
      <w:r w:rsidRPr="00CF6E45">
        <w:rPr>
          <w:rFonts w:ascii="Georgia" w:hAnsi="Georgia"/>
          <w:sz w:val="22"/>
        </w:rPr>
        <w:t xml:space="preserve">) over the </w:t>
      </w:r>
      <w:proofErr w:type="spellStart"/>
      <w:r w:rsidRPr="00CF6E45">
        <w:rPr>
          <w:rFonts w:ascii="Georgia" w:hAnsi="Georgia"/>
          <w:sz w:val="22"/>
        </w:rPr>
        <w:t>Chargor’s</w:t>
      </w:r>
      <w:proofErr w:type="spellEnd"/>
      <w:r w:rsidRPr="00CF6E45">
        <w:rPr>
          <w:rFonts w:ascii="Georgia" w:hAnsi="Georgia"/>
          <w:sz w:val="22"/>
        </w:rPr>
        <w:t xml:space="preserve"> shares in the borrower. If the borrower fails to repay the loan, the CEG has</w:t>
      </w:r>
      <w:r w:rsidR="0097400A" w:rsidRPr="00CF6E45">
        <w:rPr>
          <w:rFonts w:ascii="Georgia" w:hAnsi="Georgia"/>
          <w:sz w:val="22"/>
        </w:rPr>
        <w:t>, subject to compliance with procedures set down by law,</w:t>
      </w:r>
      <w:r w:rsidRPr="00CF6E45">
        <w:rPr>
          <w:rFonts w:ascii="Georgia" w:hAnsi="Georgia"/>
          <w:sz w:val="22"/>
        </w:rPr>
        <w:t xml:space="preserve"> rights to take control of the </w:t>
      </w:r>
      <w:proofErr w:type="spellStart"/>
      <w:r w:rsidRPr="00CF6E45">
        <w:rPr>
          <w:rFonts w:ascii="Georgia" w:hAnsi="Georgia"/>
          <w:sz w:val="22"/>
        </w:rPr>
        <w:t>Chargor’s</w:t>
      </w:r>
      <w:proofErr w:type="spellEnd"/>
      <w:r w:rsidRPr="00CF6E45">
        <w:rPr>
          <w:rFonts w:ascii="Georgia" w:hAnsi="Georgia"/>
          <w:sz w:val="22"/>
        </w:rPr>
        <w:t xml:space="preserve"> shares in the borrower.</w:t>
      </w:r>
    </w:p>
    <w:p w14:paraId="13067BC7"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This security:</w:t>
      </w:r>
    </w:p>
    <w:p w14:paraId="7AC739DC" w14:textId="77777777" w:rsidR="008D19E8" w:rsidRPr="00CF6E45" w:rsidRDefault="00C425A1" w:rsidP="007F48A5">
      <w:pPr>
        <w:pStyle w:val="BodyText2"/>
        <w:numPr>
          <w:ilvl w:val="0"/>
          <w:numId w:val="21"/>
        </w:numPr>
        <w:spacing w:line="276" w:lineRule="auto"/>
        <w:rPr>
          <w:rFonts w:ascii="Georgia" w:hAnsi="Georgia"/>
          <w:sz w:val="22"/>
        </w:rPr>
      </w:pPr>
      <w:r w:rsidRPr="00CF6E45">
        <w:rPr>
          <w:rFonts w:ascii="Georgia" w:hAnsi="Georgia"/>
          <w:sz w:val="22"/>
        </w:rPr>
        <w:t xml:space="preserve">gives the CEG priority over other creditors (other than creditors mandatorily preferred by law) if the borrower becomes </w:t>
      </w:r>
      <w:proofErr w:type="gramStart"/>
      <w:r w:rsidRPr="00CF6E45">
        <w:rPr>
          <w:rFonts w:ascii="Georgia" w:hAnsi="Georgia"/>
          <w:sz w:val="22"/>
        </w:rPr>
        <w:t>insolvent;</w:t>
      </w:r>
      <w:proofErr w:type="gramEnd"/>
    </w:p>
    <w:p w14:paraId="4803B272" w14:textId="77777777" w:rsidR="008D19E8" w:rsidRPr="00CF6E45" w:rsidRDefault="00C425A1" w:rsidP="007F48A5">
      <w:pPr>
        <w:pStyle w:val="BodyText2"/>
        <w:numPr>
          <w:ilvl w:val="0"/>
          <w:numId w:val="21"/>
        </w:numPr>
        <w:spacing w:line="276" w:lineRule="auto"/>
        <w:rPr>
          <w:rFonts w:ascii="Georgia" w:hAnsi="Georgia"/>
          <w:sz w:val="22"/>
        </w:rPr>
      </w:pPr>
      <w:r w:rsidRPr="00CF6E45">
        <w:rPr>
          <w:rFonts w:ascii="Georgia" w:hAnsi="Georgia"/>
          <w:sz w:val="22"/>
        </w:rPr>
        <w:t>provides enforcement rights if the borrower defaults; and</w:t>
      </w:r>
    </w:p>
    <w:p w14:paraId="50E18D44" w14:textId="77777777" w:rsidR="008D19E8" w:rsidRPr="00CF6E45" w:rsidRDefault="00C425A1" w:rsidP="007F48A5">
      <w:pPr>
        <w:pStyle w:val="BodyText2"/>
        <w:numPr>
          <w:ilvl w:val="0"/>
          <w:numId w:val="21"/>
        </w:numPr>
        <w:spacing w:line="276" w:lineRule="auto"/>
        <w:rPr>
          <w:rFonts w:ascii="Georgia" w:hAnsi="Georgia"/>
          <w:sz w:val="22"/>
        </w:rPr>
      </w:pPr>
      <w:r w:rsidRPr="00CF6E45">
        <w:rPr>
          <w:rFonts w:ascii="Georgia" w:hAnsi="Georgia"/>
          <w:sz w:val="22"/>
        </w:rPr>
        <w:t xml:space="preserve">creates ongoing obligations on the </w:t>
      </w:r>
      <w:proofErr w:type="spellStart"/>
      <w:r w:rsidRPr="00CF6E45">
        <w:rPr>
          <w:rFonts w:ascii="Georgia" w:hAnsi="Georgia"/>
          <w:sz w:val="22"/>
        </w:rPr>
        <w:t>Chargor</w:t>
      </w:r>
      <w:proofErr w:type="spellEnd"/>
      <w:r w:rsidRPr="00CF6E45">
        <w:rPr>
          <w:rFonts w:ascii="Georgia" w:hAnsi="Georgia"/>
          <w:sz w:val="22"/>
        </w:rPr>
        <w:t xml:space="preserve"> to maintain the secured assets and provide information to the CEG.</w:t>
      </w:r>
    </w:p>
    <w:p w14:paraId="77F538F9"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Share </w:t>
      </w:r>
      <w:r w:rsidR="000A6937" w:rsidRPr="00CF6E45">
        <w:rPr>
          <w:rFonts w:ascii="Georgia" w:hAnsi="Georgia"/>
          <w:sz w:val="22"/>
        </w:rPr>
        <w:t xml:space="preserve">Pledge </w:t>
      </w:r>
      <w:r w:rsidRPr="00CF6E45">
        <w:rPr>
          <w:rFonts w:ascii="Georgia" w:hAnsi="Georgia"/>
          <w:sz w:val="22"/>
        </w:rPr>
        <w:t xml:space="preserve">is typically entered into at the same time as the relevant loan agreement, which is usually at some point during the development phase of a Shared Ownership Project and in any event should be a condition precedent to the first drawdown under the relevant loan agreement. </w:t>
      </w:r>
      <w:r w:rsidR="00452ED7" w:rsidRPr="00CF6E45">
        <w:rPr>
          <w:rFonts w:ascii="Georgia" w:hAnsi="Georgia"/>
          <w:sz w:val="22"/>
        </w:rPr>
        <w:t>The Share Pledge must be registered in the Register of Statutory Pledges and</w:t>
      </w:r>
      <w:r w:rsidR="00F8183E" w:rsidRPr="00CF6E45">
        <w:rPr>
          <w:rFonts w:ascii="Georgia" w:hAnsi="Georgia"/>
          <w:sz w:val="22"/>
        </w:rPr>
        <w:t xml:space="preserve"> in</w:t>
      </w:r>
      <w:r w:rsidR="00452ED7" w:rsidRPr="00CF6E45">
        <w:rPr>
          <w:rFonts w:ascii="Georgia" w:hAnsi="Georgia"/>
          <w:sz w:val="22"/>
        </w:rPr>
        <w:t xml:space="preserve"> the Register of Assignations</w:t>
      </w:r>
      <w:r w:rsidR="00F8183E" w:rsidRPr="00CF6E45">
        <w:rPr>
          <w:rFonts w:ascii="Georgia" w:hAnsi="Georgia"/>
          <w:sz w:val="22"/>
        </w:rPr>
        <w:t xml:space="preserve">, </w:t>
      </w:r>
      <w:r w:rsidR="00452ED7" w:rsidRPr="00CF6E45">
        <w:rPr>
          <w:rFonts w:ascii="Georgia" w:hAnsi="Georgia"/>
          <w:sz w:val="22"/>
        </w:rPr>
        <w:t xml:space="preserve">both </w:t>
      </w:r>
      <w:r w:rsidR="00F8183E" w:rsidRPr="00CF6E45">
        <w:rPr>
          <w:rFonts w:ascii="Georgia" w:hAnsi="Georgia"/>
          <w:sz w:val="22"/>
        </w:rPr>
        <w:t xml:space="preserve">of which are </w:t>
      </w:r>
      <w:r w:rsidR="00452ED7" w:rsidRPr="00CF6E45">
        <w:rPr>
          <w:rFonts w:ascii="Georgia" w:hAnsi="Georgia"/>
          <w:sz w:val="22"/>
        </w:rPr>
        <w:t>maintained by the Registers of Scotland, and, i</w:t>
      </w:r>
      <w:r w:rsidRPr="00CF6E45">
        <w:rPr>
          <w:rFonts w:ascii="Georgia" w:hAnsi="Georgia"/>
          <w:sz w:val="22"/>
        </w:rPr>
        <w:t xml:space="preserve">f the </w:t>
      </w:r>
      <w:proofErr w:type="spellStart"/>
      <w:r w:rsidRPr="00CF6E45">
        <w:rPr>
          <w:rFonts w:ascii="Georgia" w:hAnsi="Georgia"/>
          <w:sz w:val="22"/>
        </w:rPr>
        <w:t>Chargor</w:t>
      </w:r>
      <w:proofErr w:type="spellEnd"/>
      <w:r w:rsidRPr="00CF6E45">
        <w:rPr>
          <w:rFonts w:ascii="Georgia" w:hAnsi="Georgia"/>
          <w:sz w:val="22"/>
        </w:rPr>
        <w:t xml:space="preserve"> is a</w:t>
      </w:r>
      <w:r w:rsidR="000A6937" w:rsidRPr="00CF6E45">
        <w:rPr>
          <w:rFonts w:ascii="Georgia" w:hAnsi="Georgia"/>
          <w:sz w:val="22"/>
        </w:rPr>
        <w:t xml:space="preserve"> </w:t>
      </w:r>
      <w:r w:rsidR="00452ED7" w:rsidRPr="00CF6E45">
        <w:rPr>
          <w:rFonts w:ascii="Georgia" w:hAnsi="Georgia"/>
          <w:sz w:val="22"/>
        </w:rPr>
        <w:t xml:space="preserve">UK </w:t>
      </w:r>
      <w:r w:rsidRPr="00CF6E45">
        <w:rPr>
          <w:rFonts w:ascii="Georgia" w:hAnsi="Georgia"/>
          <w:sz w:val="22"/>
        </w:rPr>
        <w:t xml:space="preserve">incorporated company or limited liability partnership, the Share </w:t>
      </w:r>
      <w:r w:rsidR="000A6937" w:rsidRPr="00CF6E45">
        <w:rPr>
          <w:rFonts w:ascii="Georgia" w:hAnsi="Georgia"/>
          <w:sz w:val="22"/>
        </w:rPr>
        <w:t xml:space="preserve">Pledge </w:t>
      </w:r>
      <w:r w:rsidRPr="00CF6E45">
        <w:rPr>
          <w:rFonts w:ascii="Georgia" w:hAnsi="Georgia"/>
          <w:sz w:val="22"/>
        </w:rPr>
        <w:t xml:space="preserve">must </w:t>
      </w:r>
      <w:r w:rsidR="00452ED7" w:rsidRPr="00CF6E45">
        <w:rPr>
          <w:rFonts w:ascii="Georgia" w:hAnsi="Georgia"/>
          <w:sz w:val="22"/>
        </w:rPr>
        <w:t xml:space="preserve">also </w:t>
      </w:r>
      <w:r w:rsidRPr="00CF6E45">
        <w:rPr>
          <w:rFonts w:ascii="Georgia" w:hAnsi="Georgia"/>
          <w:sz w:val="22"/>
        </w:rPr>
        <w:t xml:space="preserve">be registered at Companies House within 21 days of the date of its creation to protect the CEG's priority position against other creditors and to ensure the security is valid and legally effective. In addition, in any event, the parties should ensure that the </w:t>
      </w:r>
      <w:r w:rsidR="000A6937" w:rsidRPr="00CF6E45">
        <w:rPr>
          <w:rFonts w:ascii="Georgia" w:hAnsi="Georgia"/>
          <w:sz w:val="22"/>
        </w:rPr>
        <w:t xml:space="preserve">security </w:t>
      </w:r>
      <w:r w:rsidRPr="00CF6E45">
        <w:rPr>
          <w:rFonts w:ascii="Georgia" w:hAnsi="Georgia"/>
          <w:sz w:val="22"/>
        </w:rPr>
        <w:t xml:space="preserve">is noted in the borrower's register of members and the share certificate(s) </w:t>
      </w:r>
      <w:r w:rsidR="0082653B" w:rsidRPr="00CF6E45">
        <w:rPr>
          <w:rFonts w:ascii="Georgia" w:hAnsi="Georgia"/>
          <w:sz w:val="22"/>
        </w:rPr>
        <w:t xml:space="preserve">and stock transfer forms relating to the pledged shares executed by or on behalf of the </w:t>
      </w:r>
      <w:proofErr w:type="spellStart"/>
      <w:r w:rsidR="0082653B" w:rsidRPr="00CF6E45">
        <w:rPr>
          <w:rFonts w:ascii="Georgia" w:hAnsi="Georgia"/>
          <w:sz w:val="22"/>
        </w:rPr>
        <w:t>Chargor</w:t>
      </w:r>
      <w:proofErr w:type="spellEnd"/>
      <w:r w:rsidR="007A5ADE" w:rsidRPr="00CF6E45">
        <w:rPr>
          <w:rFonts w:ascii="Georgia" w:hAnsi="Georgia"/>
          <w:sz w:val="22"/>
        </w:rPr>
        <w:t>,</w:t>
      </w:r>
      <w:r w:rsidR="0082653B" w:rsidRPr="00CF6E45">
        <w:rPr>
          <w:rFonts w:ascii="Georgia" w:hAnsi="Georgia"/>
          <w:sz w:val="22"/>
        </w:rPr>
        <w:t xml:space="preserve"> but with the name of the transferee, the consideration and the date left blank</w:t>
      </w:r>
      <w:r w:rsidR="007A5ADE" w:rsidRPr="00CF6E45">
        <w:rPr>
          <w:rFonts w:ascii="Georgia" w:hAnsi="Georgia"/>
          <w:sz w:val="22"/>
        </w:rPr>
        <w:t>,</w:t>
      </w:r>
      <w:r w:rsidR="0082653B" w:rsidRPr="00CF6E45">
        <w:rPr>
          <w:rFonts w:ascii="Georgia" w:hAnsi="Georgia"/>
          <w:sz w:val="22"/>
        </w:rPr>
        <w:t xml:space="preserve"> are </w:t>
      </w:r>
      <w:r w:rsidRPr="00CF6E45">
        <w:rPr>
          <w:rFonts w:ascii="Georgia" w:hAnsi="Georgia"/>
          <w:sz w:val="22"/>
        </w:rPr>
        <w:t>deposited with the CEG.</w:t>
      </w:r>
    </w:p>
    <w:p w14:paraId="1597AF68"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In a scenario where the CEG borrows money from a bank or other financial institution (a </w:t>
      </w:r>
      <w:r w:rsidR="00181E1F" w:rsidRPr="00CF6E45">
        <w:rPr>
          <w:rFonts w:ascii="Georgia" w:hAnsi="Georgia"/>
          <w:sz w:val="22"/>
        </w:rPr>
        <w:t>“</w:t>
      </w:r>
      <w:r w:rsidRPr="00CF6E45">
        <w:rPr>
          <w:rFonts w:ascii="Georgia" w:hAnsi="Georgia"/>
          <w:b/>
          <w:bCs/>
          <w:sz w:val="22"/>
        </w:rPr>
        <w:t>Third-Party Lender</w:t>
      </w:r>
      <w:r w:rsidR="00181E1F" w:rsidRPr="00CF6E45">
        <w:rPr>
          <w:rFonts w:ascii="Georgia" w:hAnsi="Georgia"/>
          <w:sz w:val="22"/>
        </w:rPr>
        <w:t>”</w:t>
      </w:r>
      <w:r w:rsidRPr="00CF6E45">
        <w:rPr>
          <w:rFonts w:ascii="Georgia" w:hAnsi="Georgia"/>
          <w:sz w:val="22"/>
        </w:rPr>
        <w:t xml:space="preserve">) and then on-lends the proceeds to the Developer or Project SPV, the Share </w:t>
      </w:r>
      <w:r w:rsidR="0082653B" w:rsidRPr="00CF6E45">
        <w:rPr>
          <w:rFonts w:ascii="Georgia" w:hAnsi="Georgia"/>
          <w:sz w:val="22"/>
        </w:rPr>
        <w:t xml:space="preserve">Pledge </w:t>
      </w:r>
      <w:r w:rsidRPr="00CF6E45">
        <w:rPr>
          <w:rFonts w:ascii="Georgia" w:hAnsi="Georgia"/>
          <w:sz w:val="22"/>
        </w:rPr>
        <w:t>will not need to match a Third-Party Lender's security documents exactly, but it will most likely need to be subordinated to them. This is done through an intercreditor agreement or a deed of priority, which typically provides that:</w:t>
      </w:r>
    </w:p>
    <w:p w14:paraId="7730E180" w14:textId="77777777" w:rsidR="008D19E8" w:rsidRPr="00CF6E45" w:rsidRDefault="00C425A1" w:rsidP="007F48A5">
      <w:pPr>
        <w:pStyle w:val="BodyText2"/>
        <w:numPr>
          <w:ilvl w:val="0"/>
          <w:numId w:val="19"/>
        </w:numPr>
        <w:spacing w:line="276" w:lineRule="auto"/>
        <w:rPr>
          <w:rFonts w:ascii="Georgia" w:hAnsi="Georgia"/>
          <w:sz w:val="22"/>
        </w:rPr>
      </w:pPr>
      <w:r w:rsidRPr="00CF6E45">
        <w:rPr>
          <w:rFonts w:ascii="Georgia" w:hAnsi="Georgia"/>
          <w:sz w:val="22"/>
        </w:rPr>
        <w:t>the Third-Party Lender's security ranks first (senior</w:t>
      </w:r>
      <w:proofErr w:type="gramStart"/>
      <w:r w:rsidRPr="00CF6E45">
        <w:rPr>
          <w:rFonts w:ascii="Georgia" w:hAnsi="Georgia"/>
          <w:sz w:val="22"/>
        </w:rPr>
        <w:t>);</w:t>
      </w:r>
      <w:proofErr w:type="gramEnd"/>
    </w:p>
    <w:p w14:paraId="2947D899" w14:textId="77777777" w:rsidR="008D19E8" w:rsidRPr="00CF6E45" w:rsidRDefault="00C425A1" w:rsidP="007F48A5">
      <w:pPr>
        <w:pStyle w:val="BodyText2"/>
        <w:numPr>
          <w:ilvl w:val="0"/>
          <w:numId w:val="19"/>
        </w:numPr>
        <w:spacing w:line="276" w:lineRule="auto"/>
        <w:rPr>
          <w:rFonts w:ascii="Georgia" w:hAnsi="Georgia"/>
          <w:sz w:val="22"/>
        </w:rPr>
      </w:pPr>
      <w:r w:rsidRPr="00CF6E45">
        <w:rPr>
          <w:rFonts w:ascii="Georgia" w:hAnsi="Georgia"/>
          <w:sz w:val="22"/>
        </w:rPr>
        <w:t>the CEG's security ranks second (junior/subordinated</w:t>
      </w:r>
      <w:proofErr w:type="gramStart"/>
      <w:r w:rsidRPr="00CF6E45">
        <w:rPr>
          <w:rFonts w:ascii="Georgia" w:hAnsi="Georgia"/>
          <w:sz w:val="22"/>
        </w:rPr>
        <w:t>);</w:t>
      </w:r>
      <w:proofErr w:type="gramEnd"/>
    </w:p>
    <w:p w14:paraId="444D2B0A" w14:textId="77777777" w:rsidR="008D19E8" w:rsidRPr="00CF6E45" w:rsidRDefault="00C425A1" w:rsidP="007F48A5">
      <w:pPr>
        <w:pStyle w:val="BodyText2"/>
        <w:numPr>
          <w:ilvl w:val="0"/>
          <w:numId w:val="19"/>
        </w:numPr>
        <w:spacing w:line="276" w:lineRule="auto"/>
        <w:rPr>
          <w:rFonts w:ascii="Georgia" w:hAnsi="Georgia"/>
          <w:sz w:val="22"/>
        </w:rPr>
      </w:pPr>
      <w:r w:rsidRPr="00CF6E45">
        <w:rPr>
          <w:rFonts w:ascii="Georgia" w:hAnsi="Georgia"/>
          <w:sz w:val="22"/>
        </w:rPr>
        <w:t xml:space="preserve">the CEG cannot enforce its security without the Third-Party Lender's consent or until the Third-Party Lender has been fully </w:t>
      </w:r>
      <w:proofErr w:type="gramStart"/>
      <w:r w:rsidRPr="00CF6E45">
        <w:rPr>
          <w:rFonts w:ascii="Georgia" w:hAnsi="Georgia"/>
          <w:sz w:val="22"/>
        </w:rPr>
        <w:t>repaid;</w:t>
      </w:r>
      <w:proofErr w:type="gramEnd"/>
    </w:p>
    <w:p w14:paraId="5F790715" w14:textId="77777777" w:rsidR="008D19E8" w:rsidRPr="00CF6E45" w:rsidRDefault="00C425A1" w:rsidP="007F48A5">
      <w:pPr>
        <w:pStyle w:val="BodyText2"/>
        <w:numPr>
          <w:ilvl w:val="0"/>
          <w:numId w:val="19"/>
        </w:numPr>
        <w:spacing w:line="276" w:lineRule="auto"/>
        <w:rPr>
          <w:rFonts w:ascii="Georgia" w:hAnsi="Georgia"/>
          <w:sz w:val="22"/>
        </w:rPr>
      </w:pPr>
      <w:r w:rsidRPr="00CF6E45">
        <w:rPr>
          <w:rFonts w:ascii="Georgia" w:hAnsi="Georgia"/>
          <w:sz w:val="22"/>
        </w:rPr>
        <w:t>if shares are sold in enforcement, the Third-Party Lender gets paid first from the proceeds; and</w:t>
      </w:r>
    </w:p>
    <w:p w14:paraId="41119269" w14:textId="77777777" w:rsidR="008D19E8" w:rsidRPr="00CF6E45" w:rsidRDefault="00C425A1" w:rsidP="007F48A5">
      <w:pPr>
        <w:pStyle w:val="BodyText2"/>
        <w:numPr>
          <w:ilvl w:val="0"/>
          <w:numId w:val="19"/>
        </w:numPr>
        <w:spacing w:line="276" w:lineRule="auto"/>
        <w:rPr>
          <w:rFonts w:ascii="Georgia" w:hAnsi="Georgia"/>
          <w:sz w:val="22"/>
        </w:rPr>
      </w:pPr>
      <w:r w:rsidRPr="00CF6E45">
        <w:rPr>
          <w:rFonts w:ascii="Georgia" w:hAnsi="Georgia"/>
          <w:sz w:val="22"/>
        </w:rPr>
        <w:lastRenderedPageBreak/>
        <w:t>if the CEG receives any money in breach of these rules, it must hand it over to the Third-Party Lender.</w:t>
      </w:r>
    </w:p>
    <w:p w14:paraId="5A2AA18E" w14:textId="77777777" w:rsidR="00FA7A1F" w:rsidRPr="00CF6E45" w:rsidRDefault="00C425A1" w:rsidP="007F48A5">
      <w:pPr>
        <w:pStyle w:val="BodyText2"/>
        <w:spacing w:line="276" w:lineRule="auto"/>
        <w:rPr>
          <w:rFonts w:ascii="Georgia" w:hAnsi="Georgia"/>
          <w:sz w:val="22"/>
        </w:rPr>
      </w:pPr>
      <w:r w:rsidRPr="00CF6E45">
        <w:rPr>
          <w:rFonts w:ascii="Georgia" w:hAnsi="Georgia"/>
          <w:sz w:val="22"/>
        </w:rPr>
        <w:t xml:space="preserve">Where a Third-Party Lender is involved, the CEG should obtain independent legal advice on the terms of the intercreditor agreement and its impact on the CEG's enforcement rights under the Share Pledge before </w:t>
      </w:r>
      <w:proofErr w:type="gramStart"/>
      <w:r w:rsidRPr="00CF6E45">
        <w:rPr>
          <w:rFonts w:ascii="Georgia" w:hAnsi="Georgia"/>
          <w:sz w:val="22"/>
        </w:rPr>
        <w:t>entering into</w:t>
      </w:r>
      <w:proofErr w:type="gramEnd"/>
      <w:r w:rsidRPr="00CF6E45">
        <w:rPr>
          <w:rFonts w:ascii="Georgia" w:hAnsi="Georgia"/>
          <w:sz w:val="22"/>
        </w:rPr>
        <w:t xml:space="preserve"> any such arrangements.</w:t>
      </w:r>
    </w:p>
    <w:p w14:paraId="3084B581"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articles of association (other constitutional documents or shareholders' agreement) of the borrower entity may contain restrictions that could affect taking and enforcing security over shares (including any lien over the shares in favour of the issuing company, directors' discretion to register a transfer of shares or pre-emption rights on transfer). These documents should be reviewed and, if the restrictions are present, they should be removed or disapplied as a condition precedent to the first drawdown under the relevant loan agreement to give effect to the security under the Share </w:t>
      </w:r>
      <w:r w:rsidR="0082653B" w:rsidRPr="00CF6E45">
        <w:rPr>
          <w:rFonts w:ascii="Georgia" w:hAnsi="Georgia"/>
          <w:sz w:val="22"/>
        </w:rPr>
        <w:t>Pledge</w:t>
      </w:r>
      <w:r w:rsidRPr="00CF6E45">
        <w:rPr>
          <w:rFonts w:ascii="Georgia" w:hAnsi="Georgia"/>
          <w:sz w:val="22"/>
        </w:rPr>
        <w:t>.</w:t>
      </w:r>
    </w:p>
    <w:p w14:paraId="6E33E56F" w14:textId="77777777" w:rsidR="008D19E8" w:rsidRPr="00CF6E45" w:rsidRDefault="00C425A1" w:rsidP="007F48A5">
      <w:pPr>
        <w:pStyle w:val="BodyText1"/>
        <w:spacing w:line="276" w:lineRule="auto"/>
        <w:rPr>
          <w:rFonts w:ascii="Georgia" w:hAnsi="Georgia"/>
          <w:b/>
          <w:bCs/>
          <w:i/>
          <w:iCs/>
          <w:sz w:val="22"/>
        </w:rPr>
      </w:pPr>
      <w:r w:rsidRPr="00CF6E45">
        <w:rPr>
          <w:rFonts w:ascii="Georgia" w:hAnsi="Georgia"/>
          <w:b/>
          <w:bCs/>
          <w:i/>
          <w:iCs/>
          <w:sz w:val="22"/>
        </w:rPr>
        <w:t xml:space="preserve">NOTE FOR USERS OF THIS GUIDANCE DOCUMENT:  </w:t>
      </w:r>
    </w:p>
    <w:p w14:paraId="542F4659" w14:textId="03474413" w:rsidR="004B1AED" w:rsidRPr="00CF6E45" w:rsidRDefault="00636A41" w:rsidP="007F48A5">
      <w:pPr>
        <w:spacing w:after="200" w:line="276" w:lineRule="auto"/>
        <w:jc w:val="left"/>
        <w:rPr>
          <w:rFonts w:ascii="Georgia" w:hAnsi="Georgia"/>
          <w:b/>
          <w:i/>
          <w:iCs/>
          <w:sz w:val="22"/>
        </w:rPr>
      </w:pPr>
      <w:bookmarkStart w:id="3" w:name="_Toc217320669"/>
      <w:bookmarkStart w:id="4" w:name="_Toc217320670"/>
      <w:bookmarkStart w:id="5" w:name="_Toc225172398"/>
      <w:bookmarkEnd w:id="3"/>
      <w:bookmarkEnd w:id="4"/>
      <w:r w:rsidRPr="00CF6E45">
        <w:rPr>
          <w:rFonts w:ascii="Georgia" w:hAnsi="Georgia"/>
          <w:i/>
          <w:iCs/>
          <w:sz w:val="22"/>
        </w:rPr>
        <w:t xml:space="preserve">This guidance document has been developed for use by Community Energy SO projects only. It is intended to provide a useful starting point for your Community Energy SO Project. It does not promote the use of any </w:t>
      </w:r>
      <w:proofErr w:type="gramStart"/>
      <w:r w:rsidRPr="00CF6E45">
        <w:rPr>
          <w:rFonts w:ascii="Georgia" w:hAnsi="Georgia"/>
          <w:i/>
          <w:iCs/>
          <w:sz w:val="22"/>
        </w:rPr>
        <w:t>particular shared</w:t>
      </w:r>
      <w:proofErr w:type="gramEnd"/>
      <w:r w:rsidRPr="00CF6E45">
        <w:rPr>
          <w:rFonts w:ascii="Georgia" w:hAnsi="Georgia"/>
          <w:i/>
          <w:iCs/>
          <w:sz w:val="22"/>
        </w:rPr>
        <w:t xml:space="preserve"> ownership model. You will need to review and develop it in conjunction with your legal, financial, technical and procurement advisors to reflect your requirements and the circumstances of your project.  Although we have taken care in the production of this guidance document, it is guidance only and is not a substitute for independent legal advice on your specific project. No warranty, express or implied, is given as to its accuracy nor does Bird &amp; Bird LLP or Brodies LLP accept any liability for any error or omission.  You must take your own independent legal advice in relation to the development of appropriate documents for your project.</w:t>
      </w:r>
      <w:r w:rsidR="004B1AED" w:rsidRPr="00CF6E45">
        <w:rPr>
          <w:rFonts w:ascii="Georgia" w:hAnsi="Georgia"/>
          <w:i/>
          <w:iCs/>
          <w:sz w:val="22"/>
        </w:rPr>
        <w:br w:type="page"/>
      </w:r>
    </w:p>
    <w:p w14:paraId="0C30FA42" w14:textId="51EB8A8E" w:rsidR="008D19E8" w:rsidRPr="00CF6E45" w:rsidRDefault="00C425A1" w:rsidP="007F48A5">
      <w:pPr>
        <w:pStyle w:val="Level1Heading"/>
        <w:spacing w:line="276" w:lineRule="auto"/>
        <w:rPr>
          <w:rFonts w:ascii="Georgia" w:hAnsi="Georgia"/>
          <w:sz w:val="22"/>
        </w:rPr>
      </w:pPr>
      <w:bookmarkStart w:id="6" w:name="_Toc227247507"/>
      <w:r w:rsidRPr="00CF6E45">
        <w:rPr>
          <w:rFonts w:ascii="Georgia" w:hAnsi="Georgia"/>
          <w:sz w:val="22"/>
        </w:rPr>
        <w:lastRenderedPageBreak/>
        <w:t>Use of Template and this Guidance</w:t>
      </w:r>
      <w:bookmarkEnd w:id="5"/>
      <w:bookmarkEnd w:id="6"/>
      <w:r w:rsidRPr="00CF6E45">
        <w:rPr>
          <w:rFonts w:ascii="Georgia" w:hAnsi="Georgia"/>
          <w:sz w:val="22"/>
        </w:rPr>
        <w:t xml:space="preserve"> </w:t>
      </w:r>
    </w:p>
    <w:p w14:paraId="4DFD7E35"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Capitalised terms not defined in this </w:t>
      </w:r>
      <w:r w:rsidR="0082653B" w:rsidRPr="00CF6E45">
        <w:rPr>
          <w:rFonts w:ascii="Georgia" w:hAnsi="Georgia"/>
          <w:sz w:val="22"/>
        </w:rPr>
        <w:t>g</w:t>
      </w:r>
      <w:r w:rsidRPr="00CF6E45">
        <w:rPr>
          <w:rFonts w:ascii="Georgia" w:hAnsi="Georgia"/>
          <w:sz w:val="22"/>
        </w:rPr>
        <w:t>uidance have the meaning given to them in clause 1 (</w:t>
      </w:r>
      <w:r w:rsidRPr="00CF6E45">
        <w:rPr>
          <w:rFonts w:ascii="Georgia" w:hAnsi="Georgia"/>
          <w:i/>
          <w:iCs/>
          <w:sz w:val="22"/>
        </w:rPr>
        <w:t>Definitions and Interpretation</w:t>
      </w:r>
      <w:r w:rsidRPr="00CF6E45">
        <w:rPr>
          <w:rFonts w:ascii="Georgia" w:hAnsi="Georgia"/>
          <w:sz w:val="22"/>
        </w:rPr>
        <w:t xml:space="preserve">) of the Template. See also the Glossary below to aid in your understanding of the key terms and abbreviations used in this guidance. Note that the terms "CEG" and "Lender" are used interchangeably throughout this guidance to refer to the </w:t>
      </w:r>
      <w:r w:rsidR="00452ED7" w:rsidRPr="00CF6E45">
        <w:rPr>
          <w:rFonts w:ascii="Georgia" w:hAnsi="Georgia"/>
          <w:sz w:val="22"/>
        </w:rPr>
        <w:t>C</w:t>
      </w:r>
      <w:r w:rsidRPr="00CF6E45">
        <w:rPr>
          <w:rFonts w:ascii="Georgia" w:hAnsi="Georgia"/>
          <w:sz w:val="22"/>
        </w:rPr>
        <w:t xml:space="preserve">ommunity </w:t>
      </w:r>
      <w:r w:rsidR="00452ED7" w:rsidRPr="00CF6E45">
        <w:rPr>
          <w:rFonts w:ascii="Georgia" w:hAnsi="Georgia"/>
          <w:sz w:val="22"/>
        </w:rPr>
        <w:t>E</w:t>
      </w:r>
      <w:r w:rsidRPr="00CF6E45">
        <w:rPr>
          <w:rFonts w:ascii="Georgia" w:hAnsi="Georgia"/>
          <w:sz w:val="22"/>
        </w:rPr>
        <w:t xml:space="preserve">nergy </w:t>
      </w:r>
      <w:r w:rsidR="00452ED7" w:rsidRPr="00CF6E45">
        <w:rPr>
          <w:rFonts w:ascii="Georgia" w:hAnsi="Georgia"/>
          <w:sz w:val="22"/>
        </w:rPr>
        <w:t>G</w:t>
      </w:r>
      <w:r w:rsidRPr="00CF6E45">
        <w:rPr>
          <w:rFonts w:ascii="Georgia" w:hAnsi="Georgia"/>
          <w:sz w:val="22"/>
        </w:rPr>
        <w:t>roup providing the loan.</w:t>
      </w:r>
    </w:p>
    <w:p w14:paraId="10DF94FE"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This guidance provides a clause-by-clause commentary on the provisions contained within the Template.</w:t>
      </w:r>
    </w:p>
    <w:p w14:paraId="6C6390AA"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Template has been prepared on the basis that certain details will need to be inserted on a project-specific basis (and these areas are marked for specific attention with a </w:t>
      </w:r>
      <w:proofErr w:type="gramStart"/>
      <w:r w:rsidRPr="00CF6E45">
        <w:rPr>
          <w:rFonts w:ascii="Georgia" w:hAnsi="Georgia"/>
          <w:sz w:val="22"/>
        </w:rPr>
        <w:t>[  ]</w:t>
      </w:r>
      <w:proofErr w:type="gramEnd"/>
      <w:r w:rsidRPr="00CF6E45">
        <w:rPr>
          <w:rFonts w:ascii="Georgia" w:hAnsi="Georgia"/>
          <w:sz w:val="22"/>
        </w:rPr>
        <w:t>).</w:t>
      </w:r>
    </w:p>
    <w:p w14:paraId="42B1B308"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Template may also need to be amended in various ways to </w:t>
      </w:r>
      <w:proofErr w:type="gramStart"/>
      <w:r w:rsidRPr="00CF6E45">
        <w:rPr>
          <w:rFonts w:ascii="Georgia" w:hAnsi="Georgia"/>
          <w:sz w:val="22"/>
        </w:rPr>
        <w:t>take into account</w:t>
      </w:r>
      <w:proofErr w:type="gramEnd"/>
      <w:r w:rsidRPr="00CF6E45">
        <w:rPr>
          <w:rFonts w:ascii="Georgia" w:hAnsi="Georgia"/>
          <w:sz w:val="22"/>
        </w:rPr>
        <w:t xml:space="preserve"> the specifics of </w:t>
      </w:r>
      <w:proofErr w:type="gramStart"/>
      <w:r w:rsidRPr="00CF6E45">
        <w:rPr>
          <w:rFonts w:ascii="Georgia" w:hAnsi="Georgia"/>
          <w:sz w:val="22"/>
        </w:rPr>
        <w:t>particular arrangements</w:t>
      </w:r>
      <w:proofErr w:type="gramEnd"/>
      <w:r w:rsidRPr="00CF6E45">
        <w:rPr>
          <w:rFonts w:ascii="Georgia" w:hAnsi="Georgia"/>
          <w:sz w:val="22"/>
        </w:rPr>
        <w:t xml:space="preserve"> agreed between the CEG and the Developer. This includes where there is optionality between certain clauses, where the applicable clause to be used for a given Shared Ownership Project will depend on the specifics of the </w:t>
      </w:r>
      <w:proofErr w:type="gramStart"/>
      <w:r w:rsidRPr="00CF6E45">
        <w:rPr>
          <w:rFonts w:ascii="Georgia" w:hAnsi="Georgia"/>
          <w:sz w:val="22"/>
        </w:rPr>
        <w:t>particular arrangement</w:t>
      </w:r>
      <w:proofErr w:type="gramEnd"/>
      <w:r w:rsidRPr="00CF6E45">
        <w:rPr>
          <w:rFonts w:ascii="Georgia" w:hAnsi="Georgia"/>
          <w:sz w:val="22"/>
        </w:rPr>
        <w:t xml:space="preserve"> agreed. Optionality is marked with </w:t>
      </w:r>
      <w:proofErr w:type="gramStart"/>
      <w:r w:rsidRPr="00CF6E45">
        <w:rPr>
          <w:rFonts w:ascii="Georgia" w:hAnsi="Georgia"/>
          <w:sz w:val="22"/>
        </w:rPr>
        <w:t>[  ]</w:t>
      </w:r>
      <w:proofErr w:type="gramEnd"/>
      <w:r w:rsidRPr="00CF6E45">
        <w:rPr>
          <w:rFonts w:ascii="Georgia" w:hAnsi="Georgia"/>
          <w:sz w:val="22"/>
        </w:rPr>
        <w:t xml:space="preserve"> around the relevant clauses and explained in the clause-by-clause commentary below.</w:t>
      </w:r>
    </w:p>
    <w:p w14:paraId="362E1BB0"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Share </w:t>
      </w:r>
      <w:r w:rsidR="00452ED7" w:rsidRPr="00CF6E45">
        <w:rPr>
          <w:rFonts w:ascii="Georgia" w:hAnsi="Georgia"/>
          <w:sz w:val="22"/>
        </w:rPr>
        <w:t xml:space="preserve">Pledge </w:t>
      </w:r>
      <w:r w:rsidRPr="00CF6E45">
        <w:rPr>
          <w:rFonts w:ascii="Georgia" w:hAnsi="Georgia"/>
          <w:sz w:val="22"/>
        </w:rPr>
        <w:t>works alongside the relevant template loan agreement, whether that is:</w:t>
      </w:r>
    </w:p>
    <w:p w14:paraId="21E90A5A" w14:textId="77777777" w:rsidR="008D19E8" w:rsidRPr="00CF6E45" w:rsidRDefault="00C425A1" w:rsidP="007F48A5">
      <w:pPr>
        <w:pStyle w:val="BodyText2"/>
        <w:numPr>
          <w:ilvl w:val="0"/>
          <w:numId w:val="20"/>
        </w:numPr>
        <w:spacing w:line="276" w:lineRule="auto"/>
        <w:rPr>
          <w:rFonts w:ascii="Georgia" w:hAnsi="Georgia"/>
          <w:sz w:val="22"/>
        </w:rPr>
      </w:pPr>
      <w:r w:rsidRPr="00CF6E45">
        <w:rPr>
          <w:rFonts w:ascii="Georgia" w:hAnsi="Georgia"/>
          <w:sz w:val="22"/>
        </w:rPr>
        <w:t>the Shareholder Loan Agreement in the context of the CEG providing a shareholder loan as shareholder in a Joint Venture Shared Ownership Project; or</w:t>
      </w:r>
    </w:p>
    <w:p w14:paraId="043EE941" w14:textId="77777777" w:rsidR="008D19E8" w:rsidRPr="00CF6E45" w:rsidRDefault="00C425A1" w:rsidP="007F48A5">
      <w:pPr>
        <w:pStyle w:val="BodyText2"/>
        <w:numPr>
          <w:ilvl w:val="0"/>
          <w:numId w:val="20"/>
        </w:numPr>
        <w:spacing w:line="276" w:lineRule="auto"/>
        <w:rPr>
          <w:rFonts w:ascii="Georgia" w:hAnsi="Georgia"/>
          <w:sz w:val="22"/>
        </w:rPr>
      </w:pPr>
      <w:r w:rsidRPr="00CF6E45">
        <w:rPr>
          <w:rFonts w:ascii="Georgia" w:hAnsi="Georgia"/>
          <w:sz w:val="22"/>
        </w:rPr>
        <w:t>the Facility Agreement in the context of the CEG providing a loan to a borrower entity in which it does not have shares (e.g. providing a loan to a Project SPV as part of a Shared Revenue Shared Ownership Project).</w:t>
      </w:r>
    </w:p>
    <w:p w14:paraId="7C870BD2"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See the separate guidance documents for both templates. Depending on which associated loan agreement is used, the definition of </w:t>
      </w:r>
      <w:r w:rsidR="007A5ADE" w:rsidRPr="00CF6E45">
        <w:rPr>
          <w:rFonts w:ascii="Georgia" w:hAnsi="Georgia"/>
          <w:sz w:val="22"/>
        </w:rPr>
        <w:t>Fac</w:t>
      </w:r>
      <w:r w:rsidR="008259CA" w:rsidRPr="00CF6E45">
        <w:rPr>
          <w:rFonts w:ascii="Georgia" w:hAnsi="Georgia"/>
          <w:sz w:val="22"/>
        </w:rPr>
        <w:t>i</w:t>
      </w:r>
      <w:r w:rsidR="007A5ADE" w:rsidRPr="00CF6E45">
        <w:rPr>
          <w:rFonts w:ascii="Georgia" w:hAnsi="Georgia"/>
          <w:sz w:val="22"/>
        </w:rPr>
        <w:t>lity</w:t>
      </w:r>
      <w:r w:rsidRPr="00CF6E45">
        <w:rPr>
          <w:rFonts w:ascii="Georgia" w:hAnsi="Georgia"/>
          <w:sz w:val="22"/>
        </w:rPr>
        <w:t xml:space="preserve"> Agreement in th</w:t>
      </w:r>
      <w:r w:rsidR="00FA7A1F" w:rsidRPr="00CF6E45">
        <w:rPr>
          <w:rFonts w:ascii="Georgia" w:hAnsi="Georgia"/>
          <w:sz w:val="22"/>
        </w:rPr>
        <w:t>e</w:t>
      </w:r>
      <w:r w:rsidRPr="00CF6E45">
        <w:rPr>
          <w:rFonts w:ascii="Georgia" w:hAnsi="Georgia"/>
          <w:sz w:val="22"/>
        </w:rPr>
        <w:t xml:space="preserve"> Template will need amending accordingly and references to the Shareholders’ Agreement/Shared Revenue Agreement included, as relevant.</w:t>
      </w:r>
    </w:p>
    <w:p w14:paraId="63DD73BE"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Template should be read in conjunction with the relevant finance agreement (the Shareholder Loan Agreement or the Facility Agreement, as applicable), the Debenture, the Shareholders' Agreement (if applicable for joint venture structures), the Revenue Sharing Agreement (if applicable for shared revenue structures) and the Articles of Association (if applicable). The Share </w:t>
      </w:r>
      <w:r w:rsidR="00452ED7" w:rsidRPr="00CF6E45">
        <w:rPr>
          <w:rFonts w:ascii="Georgia" w:hAnsi="Georgia"/>
          <w:sz w:val="22"/>
        </w:rPr>
        <w:t xml:space="preserve">Pledge </w:t>
      </w:r>
      <w:r w:rsidRPr="00CF6E45">
        <w:rPr>
          <w:rFonts w:ascii="Georgia" w:hAnsi="Georgia"/>
          <w:sz w:val="22"/>
        </w:rPr>
        <w:t>forms part of the Finance Documents and operates as the primary security document supporting the CEG's lending to the borrower. Parties should ensure consistency between these documents, particularly in relation to events of default, enforcement provisions, and definitions.</w:t>
      </w:r>
    </w:p>
    <w:p w14:paraId="41AE34FD"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Template must be executed </w:t>
      </w:r>
      <w:r w:rsidR="00452ED7" w:rsidRPr="00CF6E45">
        <w:rPr>
          <w:rFonts w:ascii="Georgia" w:hAnsi="Georgia"/>
          <w:sz w:val="22"/>
        </w:rPr>
        <w:t xml:space="preserve">so that it is </w:t>
      </w:r>
      <w:r w:rsidR="00F8183E" w:rsidRPr="00CF6E45">
        <w:rPr>
          <w:rFonts w:ascii="Georgia" w:hAnsi="Georgia"/>
          <w:sz w:val="22"/>
        </w:rPr>
        <w:t>‘</w:t>
      </w:r>
      <w:r w:rsidR="00452ED7" w:rsidRPr="00CF6E45">
        <w:rPr>
          <w:rFonts w:ascii="Georgia" w:hAnsi="Georgia"/>
          <w:sz w:val="22"/>
        </w:rPr>
        <w:t>self</w:t>
      </w:r>
      <w:r w:rsidR="009136F8" w:rsidRPr="00CF6E45">
        <w:rPr>
          <w:rFonts w:ascii="Georgia" w:hAnsi="Georgia"/>
          <w:sz w:val="22"/>
        </w:rPr>
        <w:t>-</w:t>
      </w:r>
      <w:r w:rsidR="00452ED7" w:rsidRPr="00CF6E45">
        <w:rPr>
          <w:rFonts w:ascii="Georgia" w:hAnsi="Georgia"/>
          <w:sz w:val="22"/>
        </w:rPr>
        <w:t>proving</w:t>
      </w:r>
      <w:r w:rsidR="00F8183E" w:rsidRPr="00CF6E45">
        <w:rPr>
          <w:rFonts w:ascii="Georgia" w:hAnsi="Georgia"/>
          <w:sz w:val="22"/>
        </w:rPr>
        <w:t>’</w:t>
      </w:r>
      <w:r w:rsidR="00452ED7" w:rsidRPr="00CF6E45">
        <w:rPr>
          <w:rFonts w:ascii="Georgia" w:hAnsi="Georgia"/>
          <w:sz w:val="22"/>
        </w:rPr>
        <w:t xml:space="preserve"> under Scots law. Where </w:t>
      </w:r>
      <w:r w:rsidR="00FA7A1F" w:rsidRPr="00CF6E45">
        <w:rPr>
          <w:rFonts w:ascii="Georgia" w:hAnsi="Georgia"/>
          <w:sz w:val="22"/>
        </w:rPr>
        <w:t xml:space="preserve">the CEG </w:t>
      </w:r>
      <w:r w:rsidR="009136F8" w:rsidRPr="00CF6E45">
        <w:rPr>
          <w:rFonts w:ascii="Georgia" w:hAnsi="Georgia"/>
          <w:sz w:val="22"/>
        </w:rPr>
        <w:t>or</w:t>
      </w:r>
      <w:r w:rsidR="00FA7A1F" w:rsidRPr="00CF6E45">
        <w:rPr>
          <w:rFonts w:ascii="Georgia" w:hAnsi="Georgia"/>
          <w:sz w:val="22"/>
        </w:rPr>
        <w:t xml:space="preserve"> </w:t>
      </w:r>
      <w:r w:rsidR="00452ED7" w:rsidRPr="00CF6E45">
        <w:rPr>
          <w:rFonts w:ascii="Georgia" w:hAnsi="Georgia"/>
          <w:sz w:val="22"/>
        </w:rPr>
        <w:t xml:space="preserve">the </w:t>
      </w:r>
      <w:proofErr w:type="spellStart"/>
      <w:r w:rsidR="00DE02EF" w:rsidRPr="00CF6E45">
        <w:rPr>
          <w:rFonts w:ascii="Georgia" w:hAnsi="Georgia"/>
          <w:sz w:val="22"/>
        </w:rPr>
        <w:t>C</w:t>
      </w:r>
      <w:r w:rsidR="00452ED7" w:rsidRPr="00CF6E45">
        <w:rPr>
          <w:rFonts w:ascii="Georgia" w:hAnsi="Georgia"/>
          <w:sz w:val="22"/>
        </w:rPr>
        <w:t>hargor</w:t>
      </w:r>
      <w:proofErr w:type="spellEnd"/>
      <w:r w:rsidR="00452ED7" w:rsidRPr="00CF6E45">
        <w:rPr>
          <w:rFonts w:ascii="Georgia" w:hAnsi="Georgia"/>
          <w:sz w:val="22"/>
        </w:rPr>
        <w:t xml:space="preserve"> is a company</w:t>
      </w:r>
      <w:r w:rsidR="00DE02EF" w:rsidRPr="00CF6E45">
        <w:rPr>
          <w:rFonts w:ascii="Georgia" w:hAnsi="Georgia"/>
          <w:sz w:val="22"/>
        </w:rPr>
        <w:t>,</w:t>
      </w:r>
      <w:r w:rsidR="00452ED7" w:rsidRPr="00CF6E45">
        <w:rPr>
          <w:rFonts w:ascii="Georgia" w:hAnsi="Georgia"/>
          <w:sz w:val="22"/>
        </w:rPr>
        <w:t xml:space="preserve"> </w:t>
      </w:r>
      <w:r w:rsidR="00DE02EF" w:rsidRPr="00CF6E45">
        <w:rPr>
          <w:rFonts w:ascii="Georgia" w:hAnsi="Georgia"/>
          <w:sz w:val="22"/>
        </w:rPr>
        <w:t xml:space="preserve">this can be achieved by two directors / two authorised signatories executing the Template, or one director / authorised signatory executing the Template before a witness. Where </w:t>
      </w:r>
      <w:r w:rsidR="00FA7A1F" w:rsidRPr="00CF6E45">
        <w:rPr>
          <w:rFonts w:ascii="Georgia" w:hAnsi="Georgia"/>
          <w:sz w:val="22"/>
        </w:rPr>
        <w:t xml:space="preserve">the CEG </w:t>
      </w:r>
      <w:r w:rsidR="009136F8" w:rsidRPr="00CF6E45">
        <w:rPr>
          <w:rFonts w:ascii="Georgia" w:hAnsi="Georgia"/>
          <w:sz w:val="22"/>
        </w:rPr>
        <w:t>or</w:t>
      </w:r>
      <w:r w:rsidR="00FA7A1F" w:rsidRPr="00CF6E45">
        <w:rPr>
          <w:rFonts w:ascii="Georgia" w:hAnsi="Georgia"/>
          <w:sz w:val="22"/>
        </w:rPr>
        <w:t xml:space="preserve"> </w:t>
      </w:r>
      <w:r w:rsidR="00DE02EF" w:rsidRPr="00CF6E45">
        <w:rPr>
          <w:rFonts w:ascii="Georgia" w:hAnsi="Georgia"/>
          <w:sz w:val="22"/>
        </w:rPr>
        <w:t xml:space="preserve">the </w:t>
      </w:r>
      <w:proofErr w:type="spellStart"/>
      <w:r w:rsidR="00DE02EF" w:rsidRPr="00CF6E45">
        <w:rPr>
          <w:rFonts w:ascii="Georgia" w:hAnsi="Georgia"/>
          <w:sz w:val="22"/>
        </w:rPr>
        <w:t>Chargor</w:t>
      </w:r>
      <w:proofErr w:type="spellEnd"/>
      <w:r w:rsidR="00DE02EF" w:rsidRPr="00CF6E45">
        <w:rPr>
          <w:rFonts w:ascii="Georgia" w:hAnsi="Georgia"/>
          <w:sz w:val="22"/>
        </w:rPr>
        <w:t xml:space="preserve"> is a limited liability partnership this can be achieved by two members executing the Template, or a member executing the Template before a witnes</w:t>
      </w:r>
      <w:r w:rsidR="00691A2E" w:rsidRPr="00CF6E45">
        <w:rPr>
          <w:rFonts w:ascii="Georgia" w:hAnsi="Georgia"/>
          <w:sz w:val="22"/>
        </w:rPr>
        <w:t>s</w:t>
      </w:r>
      <w:r w:rsidRPr="00CF6E45">
        <w:rPr>
          <w:rFonts w:ascii="Georgia" w:hAnsi="Georgia"/>
          <w:sz w:val="22"/>
        </w:rPr>
        <w:t xml:space="preserve">. </w:t>
      </w:r>
    </w:p>
    <w:p w14:paraId="53339624" w14:textId="3537AB7F" w:rsidR="008D19E8" w:rsidRPr="00CF6E45" w:rsidRDefault="00C425A1" w:rsidP="00CF6E45">
      <w:pPr>
        <w:pStyle w:val="Level1Heading"/>
        <w:numPr>
          <w:ilvl w:val="0"/>
          <w:numId w:val="0"/>
        </w:numPr>
        <w:ind w:left="720" w:hanging="720"/>
        <w:rPr>
          <w:rFonts w:ascii="Georgia" w:hAnsi="Georgia"/>
          <w:sz w:val="22"/>
        </w:rPr>
      </w:pPr>
      <w:bookmarkStart w:id="7" w:name="_Toc225172399"/>
      <w:bookmarkStart w:id="8" w:name="_Toc227247508"/>
      <w:r w:rsidRPr="00CF6E45">
        <w:rPr>
          <w:rFonts w:ascii="Georgia" w:hAnsi="Georgia"/>
          <w:sz w:val="22"/>
        </w:rPr>
        <w:lastRenderedPageBreak/>
        <w:t>Glossary of Key Terms and Abbreviations</w:t>
      </w:r>
      <w:bookmarkEnd w:id="7"/>
      <w:bookmarkEnd w:id="8"/>
    </w:p>
    <w:tbl>
      <w:tblPr>
        <w:tblW w:w="9639"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4014"/>
        <w:gridCol w:w="5625"/>
      </w:tblGrid>
      <w:tr w:rsidR="008C7653" w:rsidRPr="00CF6E45" w14:paraId="0D6FE2DA" w14:textId="77777777" w:rsidTr="007A5ADE">
        <w:trPr>
          <w:tblCellSpacing w:w="15" w:type="dxa"/>
        </w:trPr>
        <w:tc>
          <w:tcPr>
            <w:tcW w:w="3969" w:type="dxa"/>
            <w:hideMark/>
          </w:tcPr>
          <w:p w14:paraId="7D13C0CF" w14:textId="77777777" w:rsidR="008D19E8" w:rsidRPr="00CF6E45" w:rsidRDefault="00C425A1" w:rsidP="007F48A5">
            <w:pPr>
              <w:pStyle w:val="BodyText2"/>
              <w:spacing w:line="276" w:lineRule="auto"/>
              <w:ind w:left="0"/>
              <w:rPr>
                <w:rFonts w:ascii="Georgia" w:hAnsi="Georgia"/>
                <w:b/>
                <w:bCs/>
                <w:sz w:val="22"/>
              </w:rPr>
            </w:pPr>
            <w:r w:rsidRPr="00CF6E45">
              <w:rPr>
                <w:rFonts w:ascii="Georgia" w:hAnsi="Georgia"/>
                <w:b/>
                <w:bCs/>
                <w:sz w:val="22"/>
              </w:rPr>
              <w:t>Term</w:t>
            </w:r>
          </w:p>
        </w:tc>
        <w:tc>
          <w:tcPr>
            <w:tcW w:w="5580" w:type="dxa"/>
            <w:vAlign w:val="center"/>
          </w:tcPr>
          <w:p w14:paraId="79D8CE51"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Definition</w:t>
            </w:r>
          </w:p>
        </w:tc>
      </w:tr>
      <w:tr w:rsidR="008C7653" w:rsidRPr="00CF6E45" w14:paraId="63BD0FFE" w14:textId="77777777" w:rsidTr="008D19E8">
        <w:trPr>
          <w:tblCellSpacing w:w="15" w:type="dxa"/>
        </w:trPr>
        <w:tc>
          <w:tcPr>
            <w:tcW w:w="3969" w:type="dxa"/>
            <w:hideMark/>
          </w:tcPr>
          <w:p w14:paraId="185E8E8E"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"CEG (Community Energy Group)"</w:t>
            </w:r>
          </w:p>
        </w:tc>
        <w:tc>
          <w:tcPr>
            <w:tcW w:w="5580" w:type="dxa"/>
            <w:vAlign w:val="center"/>
            <w:hideMark/>
          </w:tcPr>
          <w:p w14:paraId="7E8F8A64"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community energy group who is party to the Share </w:t>
            </w:r>
            <w:r w:rsidR="00DE02EF" w:rsidRPr="00CF6E45">
              <w:rPr>
                <w:rFonts w:ascii="Georgia" w:hAnsi="Georgia"/>
                <w:sz w:val="22"/>
              </w:rPr>
              <w:t xml:space="preserve">Pledge </w:t>
            </w:r>
            <w:r w:rsidRPr="00CF6E45">
              <w:rPr>
                <w:rFonts w:ascii="Georgia" w:hAnsi="Georgia"/>
                <w:sz w:val="22"/>
              </w:rPr>
              <w:t>(and the other Finance Documents) as lender.</w:t>
            </w:r>
          </w:p>
        </w:tc>
      </w:tr>
      <w:tr w:rsidR="008C7653" w:rsidRPr="00CF6E45" w14:paraId="0142B6D1" w14:textId="77777777" w:rsidTr="008D19E8">
        <w:trPr>
          <w:tblCellSpacing w:w="15" w:type="dxa"/>
        </w:trPr>
        <w:tc>
          <w:tcPr>
            <w:tcW w:w="3969" w:type="dxa"/>
          </w:tcPr>
          <w:p w14:paraId="671B723D"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"Borrower"</w:t>
            </w:r>
          </w:p>
        </w:tc>
        <w:tc>
          <w:tcPr>
            <w:tcW w:w="5580" w:type="dxa"/>
            <w:vAlign w:val="center"/>
          </w:tcPr>
          <w:p w14:paraId="22FA8EBD"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The JVCO or Project SPV (as applicable) which is borrowing funds from the Lender under the Shareholder Loan Agreement or the Facility Agreement (as applicable).</w:t>
            </w:r>
          </w:p>
        </w:tc>
      </w:tr>
      <w:tr w:rsidR="008C7653" w:rsidRPr="00CF6E45" w14:paraId="516E3415" w14:textId="77777777" w:rsidTr="008D19E8">
        <w:trPr>
          <w:tblCellSpacing w:w="15" w:type="dxa"/>
        </w:trPr>
        <w:tc>
          <w:tcPr>
            <w:tcW w:w="3969" w:type="dxa"/>
            <w:hideMark/>
          </w:tcPr>
          <w:p w14:paraId="776C0E58"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"Developer"</w:t>
            </w:r>
          </w:p>
        </w:tc>
        <w:tc>
          <w:tcPr>
            <w:tcW w:w="5580" w:type="dxa"/>
            <w:vAlign w:val="center"/>
            <w:hideMark/>
          </w:tcPr>
          <w:p w14:paraId="076F3C6F"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The commercial operator, engaged in the development, construction and/or operation of renewable energy projects.</w:t>
            </w:r>
          </w:p>
        </w:tc>
      </w:tr>
      <w:tr w:rsidR="008C7653" w:rsidRPr="00CF6E45" w14:paraId="146F7E15" w14:textId="77777777" w:rsidTr="008D19E8">
        <w:trPr>
          <w:tblCellSpacing w:w="15" w:type="dxa"/>
        </w:trPr>
        <w:tc>
          <w:tcPr>
            <w:tcW w:w="3969" w:type="dxa"/>
            <w:hideMark/>
          </w:tcPr>
          <w:p w14:paraId="0BD0E798"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 xml:space="preserve">"Fixed </w:t>
            </w:r>
            <w:r w:rsidR="00DE02EF" w:rsidRPr="00CF6E45">
              <w:rPr>
                <w:rFonts w:ascii="Georgia" w:hAnsi="Georgia"/>
                <w:b/>
                <w:bCs/>
                <w:sz w:val="22"/>
              </w:rPr>
              <w:t>Security</w:t>
            </w:r>
            <w:r w:rsidRPr="00CF6E45">
              <w:rPr>
                <w:rFonts w:ascii="Georgia" w:hAnsi="Georgia"/>
                <w:b/>
                <w:bCs/>
                <w:sz w:val="22"/>
              </w:rPr>
              <w:t>"</w:t>
            </w:r>
          </w:p>
        </w:tc>
        <w:tc>
          <w:tcPr>
            <w:tcW w:w="5580" w:type="dxa"/>
            <w:vAlign w:val="center"/>
            <w:hideMark/>
          </w:tcPr>
          <w:p w14:paraId="68515D27"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A fixed </w:t>
            </w:r>
            <w:r w:rsidR="00DE02EF" w:rsidRPr="00CF6E45">
              <w:rPr>
                <w:rFonts w:ascii="Georgia" w:hAnsi="Georgia"/>
                <w:sz w:val="22"/>
              </w:rPr>
              <w:t xml:space="preserve">security </w:t>
            </w:r>
            <w:r w:rsidRPr="00CF6E45">
              <w:rPr>
                <w:rFonts w:ascii="Georgia" w:hAnsi="Georgia"/>
                <w:sz w:val="22"/>
              </w:rPr>
              <w:t xml:space="preserve">ranking first in priority (except for </w:t>
            </w:r>
            <w:r w:rsidR="00453949" w:rsidRPr="00CF6E45">
              <w:rPr>
                <w:rFonts w:ascii="Georgia" w:hAnsi="Georgia"/>
                <w:sz w:val="22"/>
              </w:rPr>
              <w:t xml:space="preserve">securities </w:t>
            </w:r>
            <w:r w:rsidRPr="00CF6E45">
              <w:rPr>
                <w:rFonts w:ascii="Georgia" w:hAnsi="Georgia"/>
                <w:sz w:val="22"/>
              </w:rPr>
              <w:t xml:space="preserve">arising by law) over all shares of the Borrower.  </w:t>
            </w:r>
          </w:p>
        </w:tc>
      </w:tr>
      <w:tr w:rsidR="008C7653" w:rsidRPr="00CF6E45" w14:paraId="56530AF4" w14:textId="77777777" w:rsidTr="008D19E8">
        <w:trPr>
          <w:tblCellSpacing w:w="15" w:type="dxa"/>
        </w:trPr>
        <w:tc>
          <w:tcPr>
            <w:tcW w:w="3969" w:type="dxa"/>
            <w:hideMark/>
          </w:tcPr>
          <w:p w14:paraId="1444A819"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"Indemnity"</w:t>
            </w:r>
          </w:p>
        </w:tc>
        <w:tc>
          <w:tcPr>
            <w:tcW w:w="5580" w:type="dxa"/>
            <w:vAlign w:val="center"/>
            <w:hideMark/>
          </w:tcPr>
          <w:p w14:paraId="28F190F7"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A promise to compensate someone for a loss or liability.</w:t>
            </w:r>
          </w:p>
        </w:tc>
      </w:tr>
      <w:tr w:rsidR="008C7653" w:rsidRPr="00CF6E45" w14:paraId="750471C5" w14:textId="77777777" w:rsidTr="008D19E8">
        <w:trPr>
          <w:tblCellSpacing w:w="15" w:type="dxa"/>
        </w:trPr>
        <w:tc>
          <w:tcPr>
            <w:tcW w:w="3969" w:type="dxa"/>
          </w:tcPr>
          <w:p w14:paraId="4AD80776"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"Intercreditor agreement (also deed of priority)"</w:t>
            </w:r>
          </w:p>
        </w:tc>
        <w:tc>
          <w:tcPr>
            <w:tcW w:w="5580" w:type="dxa"/>
            <w:vAlign w:val="center"/>
          </w:tcPr>
          <w:p w14:paraId="5CA30505"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An agreement between two or more lenders - here the CEG and a Third-Party Lender - and (typically) the borrower, that sets out the order in which each lender's claims will rank and the circumstances in which each lender may enforce its security against the borrower.</w:t>
            </w:r>
          </w:p>
        </w:tc>
      </w:tr>
      <w:tr w:rsidR="008C7653" w:rsidRPr="00CF6E45" w14:paraId="14633405" w14:textId="77777777" w:rsidTr="008D19E8">
        <w:trPr>
          <w:tblCellSpacing w:w="15" w:type="dxa"/>
        </w:trPr>
        <w:tc>
          <w:tcPr>
            <w:tcW w:w="3969" w:type="dxa"/>
            <w:hideMark/>
          </w:tcPr>
          <w:p w14:paraId="468D946B"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"Joint Venture Shared Ownership Project"</w:t>
            </w:r>
          </w:p>
        </w:tc>
        <w:tc>
          <w:tcPr>
            <w:tcW w:w="5580" w:type="dxa"/>
            <w:vAlign w:val="center"/>
            <w:hideMark/>
          </w:tcPr>
          <w:p w14:paraId="40839E78"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A CEG and Developer working together to develop, own and manage a renewable energy project and take mutually agreed shares in the JVCO.</w:t>
            </w:r>
          </w:p>
        </w:tc>
      </w:tr>
      <w:tr w:rsidR="008C7653" w:rsidRPr="00CF6E45" w14:paraId="2C8618B2" w14:textId="77777777" w:rsidTr="008D19E8">
        <w:trPr>
          <w:tblCellSpacing w:w="15" w:type="dxa"/>
        </w:trPr>
        <w:tc>
          <w:tcPr>
            <w:tcW w:w="3969" w:type="dxa"/>
            <w:hideMark/>
          </w:tcPr>
          <w:p w14:paraId="3CCF4FCD"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"JVCO (Joint Venture Company)"</w:t>
            </w:r>
          </w:p>
        </w:tc>
        <w:tc>
          <w:tcPr>
            <w:tcW w:w="5580" w:type="dxa"/>
            <w:vAlign w:val="center"/>
            <w:hideMark/>
          </w:tcPr>
          <w:p w14:paraId="783536D9"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A private limited company established to carry on the joint venture business. The JVCO is the vehicle through which the parties collaborate and conduct their shared business activities.</w:t>
            </w:r>
          </w:p>
        </w:tc>
      </w:tr>
      <w:tr w:rsidR="008C7653" w:rsidRPr="00CF6E45" w14:paraId="73B920AF" w14:textId="77777777" w:rsidTr="008D19E8">
        <w:trPr>
          <w:tblCellSpacing w:w="15" w:type="dxa"/>
        </w:trPr>
        <w:tc>
          <w:tcPr>
            <w:tcW w:w="3969" w:type="dxa"/>
            <w:hideMark/>
          </w:tcPr>
          <w:p w14:paraId="2F6E33DD"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"Secured Assets"</w:t>
            </w:r>
          </w:p>
        </w:tc>
        <w:tc>
          <w:tcPr>
            <w:tcW w:w="5580" w:type="dxa"/>
            <w:vAlign w:val="center"/>
            <w:hideMark/>
          </w:tcPr>
          <w:p w14:paraId="31C87EE7"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All present and future assets, property and undertaking of the Borrower that are subject to the security created by the Share </w:t>
            </w:r>
            <w:r w:rsidR="00DE02EF" w:rsidRPr="00CF6E45">
              <w:rPr>
                <w:rFonts w:ascii="Georgia" w:hAnsi="Georgia"/>
                <w:sz w:val="22"/>
              </w:rPr>
              <w:t xml:space="preserve">Pledge </w:t>
            </w:r>
            <w:r w:rsidRPr="00CF6E45">
              <w:rPr>
                <w:rFonts w:ascii="Georgia" w:hAnsi="Georgia"/>
                <w:sz w:val="22"/>
              </w:rPr>
              <w:t xml:space="preserve">(i.e. all Shares owned </w:t>
            </w:r>
            <w:r w:rsidR="00DE02EF" w:rsidRPr="00CF6E45">
              <w:rPr>
                <w:rFonts w:ascii="Georgia" w:hAnsi="Georgia"/>
                <w:sz w:val="22"/>
              </w:rPr>
              <w:t xml:space="preserve">or owned in the future </w:t>
            </w:r>
            <w:r w:rsidRPr="00CF6E45">
              <w:rPr>
                <w:rFonts w:ascii="Georgia" w:hAnsi="Georgia"/>
                <w:sz w:val="22"/>
              </w:rPr>
              <w:t xml:space="preserve">by the </w:t>
            </w:r>
            <w:proofErr w:type="spellStart"/>
            <w:r w:rsidRPr="00CF6E45">
              <w:rPr>
                <w:rFonts w:ascii="Georgia" w:hAnsi="Georgia"/>
                <w:sz w:val="22"/>
              </w:rPr>
              <w:t>Chargor</w:t>
            </w:r>
            <w:proofErr w:type="spellEnd"/>
            <w:r w:rsidRPr="00CF6E45">
              <w:rPr>
                <w:rFonts w:ascii="Georgia" w:hAnsi="Georgia"/>
                <w:sz w:val="22"/>
              </w:rPr>
              <w:t xml:space="preserve"> and all Related Rights).</w:t>
            </w:r>
          </w:p>
        </w:tc>
      </w:tr>
      <w:tr w:rsidR="008C7653" w:rsidRPr="00CF6E45" w14:paraId="504D3175" w14:textId="77777777" w:rsidTr="008D19E8">
        <w:trPr>
          <w:tblCellSpacing w:w="15" w:type="dxa"/>
        </w:trPr>
        <w:tc>
          <w:tcPr>
            <w:tcW w:w="3969" w:type="dxa"/>
            <w:hideMark/>
          </w:tcPr>
          <w:p w14:paraId="2027BF54"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lastRenderedPageBreak/>
              <w:t>"Secured Liabilities"</w:t>
            </w:r>
          </w:p>
        </w:tc>
        <w:tc>
          <w:tcPr>
            <w:tcW w:w="5580" w:type="dxa"/>
            <w:vAlign w:val="center"/>
            <w:hideMark/>
          </w:tcPr>
          <w:p w14:paraId="2FE3C6C5"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All present and future obligations and liabilities (whether actual or contingent) of the Borrower to the CEG under or in connection with the Share </w:t>
            </w:r>
            <w:r w:rsidR="00DE02EF" w:rsidRPr="00CF6E45">
              <w:rPr>
                <w:rFonts w:ascii="Georgia" w:hAnsi="Georgia"/>
                <w:sz w:val="22"/>
              </w:rPr>
              <w:t>Pledge</w:t>
            </w:r>
            <w:r w:rsidRPr="00CF6E45">
              <w:rPr>
                <w:rFonts w:ascii="Georgia" w:hAnsi="Georgia"/>
                <w:sz w:val="22"/>
              </w:rPr>
              <w:t>, the Shareholder Loan Agreement and any other Finance Document, including principal, interest, fees, costs and expenses, together with all costs incurred by the CEG in enforcing its rights under the Security Documents.</w:t>
            </w:r>
          </w:p>
        </w:tc>
      </w:tr>
      <w:tr w:rsidR="008C7653" w:rsidRPr="00CF6E45" w14:paraId="2AB02300" w14:textId="77777777" w:rsidTr="008D19E8">
        <w:trPr>
          <w:tblCellSpacing w:w="15" w:type="dxa"/>
        </w:trPr>
        <w:tc>
          <w:tcPr>
            <w:tcW w:w="3969" w:type="dxa"/>
            <w:hideMark/>
          </w:tcPr>
          <w:p w14:paraId="3C6F30B1"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"Shareholder Loan Agreement"</w:t>
            </w:r>
          </w:p>
        </w:tc>
        <w:tc>
          <w:tcPr>
            <w:tcW w:w="5580" w:type="dxa"/>
            <w:vAlign w:val="center"/>
            <w:hideMark/>
          </w:tcPr>
          <w:p w14:paraId="10ABD251"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 xml:space="preserve">The agreement </w:t>
            </w:r>
            <w:proofErr w:type="gramStart"/>
            <w:r w:rsidRPr="00CF6E45">
              <w:rPr>
                <w:rFonts w:ascii="Georgia" w:hAnsi="Georgia"/>
                <w:sz w:val="22"/>
              </w:rPr>
              <w:t>entered into</w:t>
            </w:r>
            <w:proofErr w:type="gramEnd"/>
            <w:r w:rsidRPr="00CF6E45">
              <w:rPr>
                <w:rFonts w:ascii="Georgia" w:hAnsi="Georgia"/>
                <w:sz w:val="22"/>
              </w:rPr>
              <w:t xml:space="preserve"> between the CEG (and/or the Developer) as lender and the JVCO as borrower, pursuant to which one or more shareholder loans are made available to the JVCO to finance the development, construction and/or operation of the Project, as amended, restated, supplemented or replaced from time to time.</w:t>
            </w:r>
          </w:p>
        </w:tc>
      </w:tr>
      <w:tr w:rsidR="008C7653" w:rsidRPr="00CF6E45" w14:paraId="4953AA9F" w14:textId="77777777" w:rsidTr="008D19E8">
        <w:trPr>
          <w:tblCellSpacing w:w="15" w:type="dxa"/>
        </w:trPr>
        <w:tc>
          <w:tcPr>
            <w:tcW w:w="3969" w:type="dxa"/>
          </w:tcPr>
          <w:p w14:paraId="423B8BF8"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"Special purpose vehicle (SPV)"</w:t>
            </w:r>
          </w:p>
          <w:p w14:paraId="01758230" w14:textId="77777777" w:rsidR="008D19E8" w:rsidRPr="00CF6E45" w:rsidRDefault="008D19E8" w:rsidP="007F48A5">
            <w:pPr>
              <w:pStyle w:val="BodyText2"/>
              <w:spacing w:line="276" w:lineRule="auto"/>
              <w:rPr>
                <w:rFonts w:ascii="Georgia" w:hAnsi="Georgia"/>
                <w:b/>
                <w:bCs/>
                <w:sz w:val="22"/>
              </w:rPr>
            </w:pPr>
          </w:p>
        </w:tc>
        <w:tc>
          <w:tcPr>
            <w:tcW w:w="5580" w:type="dxa"/>
          </w:tcPr>
          <w:p w14:paraId="14101DCB"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A company created for a specific, limited purpose, typically to hold a particular asset or carry out a particular project. SPVs ring-fence risk and keep specific projects separate from other business activities.</w:t>
            </w:r>
          </w:p>
        </w:tc>
      </w:tr>
      <w:tr w:rsidR="008C7653" w:rsidRPr="00CF6E45" w14:paraId="7BF8217B" w14:textId="77777777" w:rsidTr="008D19E8">
        <w:trPr>
          <w:tblCellSpacing w:w="15" w:type="dxa"/>
        </w:trPr>
        <w:tc>
          <w:tcPr>
            <w:tcW w:w="3969" w:type="dxa"/>
            <w:hideMark/>
          </w:tcPr>
          <w:p w14:paraId="29C56BBE"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"Waiver"</w:t>
            </w:r>
          </w:p>
        </w:tc>
        <w:tc>
          <w:tcPr>
            <w:tcW w:w="5580" w:type="dxa"/>
            <w:vAlign w:val="center"/>
            <w:hideMark/>
          </w:tcPr>
          <w:p w14:paraId="15C32F3E" w14:textId="77777777" w:rsidR="008D19E8" w:rsidRPr="00CF6E45" w:rsidRDefault="00C425A1" w:rsidP="007F48A5">
            <w:pPr>
              <w:pStyle w:val="BodyText2"/>
              <w:spacing w:line="276" w:lineRule="auto"/>
              <w:rPr>
                <w:rFonts w:ascii="Georgia" w:hAnsi="Georgia"/>
                <w:sz w:val="22"/>
              </w:rPr>
            </w:pPr>
            <w:r w:rsidRPr="00CF6E45">
              <w:rPr>
                <w:rFonts w:ascii="Georgia" w:hAnsi="Georgia"/>
                <w:sz w:val="22"/>
              </w:rPr>
              <w:t>The voluntary giving up of a right or claim.</w:t>
            </w:r>
          </w:p>
        </w:tc>
      </w:tr>
      <w:tr w:rsidR="008C7653" w:rsidRPr="00CF6E45" w14:paraId="67E83D06" w14:textId="77777777" w:rsidTr="008D19E8">
        <w:trPr>
          <w:tblCellSpacing w:w="15" w:type="dxa"/>
        </w:trPr>
        <w:tc>
          <w:tcPr>
            <w:tcW w:w="3969" w:type="dxa"/>
            <w:hideMark/>
          </w:tcPr>
          <w:p w14:paraId="79296238" w14:textId="77777777" w:rsidR="008D19E8" w:rsidRPr="00CF6E45" w:rsidRDefault="00C425A1" w:rsidP="007F48A5">
            <w:pPr>
              <w:pStyle w:val="BodyText2"/>
              <w:spacing w:line="276" w:lineRule="auto"/>
              <w:rPr>
                <w:rFonts w:ascii="Georgia" w:hAnsi="Georgia"/>
                <w:b/>
                <w:bCs/>
                <w:sz w:val="22"/>
              </w:rPr>
            </w:pPr>
            <w:r w:rsidRPr="00CF6E45">
              <w:rPr>
                <w:rFonts w:ascii="Georgia" w:hAnsi="Georgia"/>
                <w:b/>
                <w:bCs/>
                <w:sz w:val="22"/>
              </w:rPr>
              <w:t>"Warranties"</w:t>
            </w:r>
          </w:p>
        </w:tc>
        <w:tc>
          <w:tcPr>
            <w:tcW w:w="5580" w:type="dxa"/>
            <w:vAlign w:val="center"/>
            <w:hideMark/>
          </w:tcPr>
          <w:p w14:paraId="5B9D1E77" w14:textId="77777777" w:rsidR="008D19E8" w:rsidRDefault="00C425A1" w:rsidP="007F48A5">
            <w:pPr>
              <w:pStyle w:val="BodyText2"/>
              <w:spacing w:line="276" w:lineRule="auto"/>
              <w:rPr>
                <w:rFonts w:ascii="Georgia" w:hAnsi="Georgia"/>
                <w:sz w:val="22"/>
              </w:rPr>
            </w:pPr>
            <w:r w:rsidRPr="00CF6E45">
              <w:rPr>
                <w:rFonts w:ascii="Georgia" w:hAnsi="Georgia"/>
                <w:sz w:val="22"/>
              </w:rPr>
              <w:t xml:space="preserve">A promise or assurance about the </w:t>
            </w:r>
            <w:proofErr w:type="gramStart"/>
            <w:r w:rsidRPr="00CF6E45">
              <w:rPr>
                <w:rFonts w:ascii="Georgia" w:hAnsi="Georgia"/>
                <w:sz w:val="22"/>
              </w:rPr>
              <w:t>state of affairs</w:t>
            </w:r>
            <w:proofErr w:type="gramEnd"/>
            <w:r w:rsidRPr="00CF6E45">
              <w:rPr>
                <w:rFonts w:ascii="Georgia" w:hAnsi="Georgia"/>
                <w:sz w:val="22"/>
              </w:rPr>
              <w:t xml:space="preserve"> of a company or the accuracy of certain facts. If a warranty proves to be untrue, the party who gave it may be liable for any losses suffered as a result.</w:t>
            </w:r>
          </w:p>
          <w:p w14:paraId="43A9E5F8" w14:textId="77777777" w:rsidR="00787F68" w:rsidRPr="00CF6E45" w:rsidRDefault="00787F68" w:rsidP="007F48A5">
            <w:pPr>
              <w:pStyle w:val="BodyText2"/>
              <w:spacing w:line="276" w:lineRule="auto"/>
              <w:rPr>
                <w:rFonts w:ascii="Georgia" w:hAnsi="Georgia"/>
                <w:sz w:val="22"/>
              </w:rPr>
            </w:pPr>
          </w:p>
        </w:tc>
      </w:tr>
    </w:tbl>
    <w:p w14:paraId="52393037" w14:textId="0942F3CC" w:rsidR="00787F68" w:rsidRDefault="00787F68" w:rsidP="00787F68">
      <w:pPr>
        <w:pStyle w:val="Level1Heading"/>
        <w:numPr>
          <w:ilvl w:val="0"/>
          <w:numId w:val="0"/>
        </w:numPr>
        <w:spacing w:line="276" w:lineRule="auto"/>
        <w:ind w:left="720"/>
        <w:rPr>
          <w:rFonts w:ascii="Georgia" w:hAnsi="Georgia"/>
          <w:sz w:val="22"/>
        </w:rPr>
      </w:pPr>
      <w:bookmarkStart w:id="9" w:name="_Toc225172400"/>
      <w:bookmarkStart w:id="10" w:name="_Toc227247509"/>
    </w:p>
    <w:p w14:paraId="688F9101" w14:textId="77777777" w:rsidR="00787F68" w:rsidRDefault="00787F68">
      <w:pPr>
        <w:spacing w:after="200" w:line="276" w:lineRule="auto"/>
        <w:jc w:val="left"/>
        <w:rPr>
          <w:rFonts w:ascii="Georgia" w:hAnsi="Georgia"/>
          <w:b/>
          <w:sz w:val="22"/>
        </w:rPr>
      </w:pPr>
      <w:r>
        <w:rPr>
          <w:rFonts w:ascii="Georgia" w:hAnsi="Georgia"/>
          <w:sz w:val="22"/>
        </w:rPr>
        <w:br w:type="page"/>
      </w:r>
    </w:p>
    <w:p w14:paraId="5379F887" w14:textId="0BBFA568" w:rsidR="008D19E8" w:rsidRPr="00CF6E45" w:rsidRDefault="00C425A1" w:rsidP="007F48A5">
      <w:pPr>
        <w:pStyle w:val="Level1Heading"/>
        <w:spacing w:line="276" w:lineRule="auto"/>
        <w:rPr>
          <w:rFonts w:ascii="Georgia" w:hAnsi="Georgia"/>
          <w:sz w:val="22"/>
        </w:rPr>
      </w:pPr>
      <w:r w:rsidRPr="00CF6E45">
        <w:rPr>
          <w:rFonts w:ascii="Georgia" w:hAnsi="Georgia"/>
          <w:sz w:val="22"/>
        </w:rPr>
        <w:lastRenderedPageBreak/>
        <w:t>Clause-by-clause commentary</w:t>
      </w:r>
      <w:bookmarkEnd w:id="9"/>
      <w:bookmarkEnd w:id="10"/>
    </w:p>
    <w:p w14:paraId="09403BB9" w14:textId="600B452C"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Parties and Recitals</w:t>
      </w:r>
      <w:r w:rsidR="00181E1F" w:rsidRPr="00CF6E45">
        <w:rPr>
          <w:rFonts w:ascii="Georgia" w:hAnsi="Georgia"/>
          <w:sz w:val="22"/>
          <w:u w:val="single"/>
        </w:rPr>
        <w:t xml:space="preserve"> (Background</w:t>
      </w:r>
      <w:r w:rsidR="00636A41" w:rsidRPr="00CF6E45">
        <w:rPr>
          <w:rFonts w:ascii="Georgia" w:hAnsi="Georgia"/>
          <w:sz w:val="22"/>
          <w:u w:val="single"/>
        </w:rPr>
        <w:t>)</w:t>
      </w:r>
    </w:p>
    <w:p w14:paraId="003FD22C" w14:textId="77777777" w:rsidR="008D19E8" w:rsidRPr="00CF6E45" w:rsidRDefault="00C425A1" w:rsidP="007F48A5">
      <w:pPr>
        <w:pStyle w:val="Level3Number"/>
        <w:numPr>
          <w:ilvl w:val="0"/>
          <w:numId w:val="0"/>
        </w:numPr>
        <w:spacing w:line="276" w:lineRule="auto"/>
        <w:ind w:left="1728" w:hanging="1008"/>
        <w:rPr>
          <w:rFonts w:ascii="Georgia" w:hAnsi="Georgia"/>
          <w:sz w:val="22"/>
        </w:rPr>
      </w:pPr>
      <w:r w:rsidRPr="00CF6E45">
        <w:rPr>
          <w:rFonts w:ascii="Georgia" w:hAnsi="Georgia"/>
          <w:b/>
          <w:sz w:val="22"/>
        </w:rPr>
        <w:t>Purpose</w:t>
      </w:r>
      <w:r w:rsidRPr="00CF6E45">
        <w:rPr>
          <w:rFonts w:ascii="Georgia" w:hAnsi="Georgia"/>
          <w:sz w:val="22"/>
        </w:rPr>
        <w:t>: The Recitals</w:t>
      </w:r>
      <w:r w:rsidR="007A5ADE" w:rsidRPr="00CF6E45">
        <w:rPr>
          <w:rFonts w:ascii="Georgia" w:hAnsi="Georgia"/>
          <w:sz w:val="22"/>
        </w:rPr>
        <w:t xml:space="preserve"> (Background)</w:t>
      </w:r>
      <w:r w:rsidRPr="00CF6E45">
        <w:rPr>
          <w:rFonts w:ascii="Georgia" w:hAnsi="Georgia"/>
          <w:sz w:val="22"/>
        </w:rPr>
        <w:t xml:space="preserve"> provide background information.</w:t>
      </w:r>
    </w:p>
    <w:p w14:paraId="2B6E8AAC" w14:textId="77777777" w:rsidR="008D19E8" w:rsidRPr="00CF6E45" w:rsidRDefault="00C425A1" w:rsidP="007F48A5">
      <w:pPr>
        <w:pStyle w:val="Level3Number"/>
        <w:numPr>
          <w:ilvl w:val="0"/>
          <w:numId w:val="0"/>
        </w:numPr>
        <w:spacing w:line="276" w:lineRule="auto"/>
        <w:ind w:left="1728" w:hanging="1008"/>
        <w:rPr>
          <w:rFonts w:ascii="Georgia" w:hAnsi="Georgia"/>
          <w:b/>
          <w:bCs/>
          <w:sz w:val="22"/>
        </w:rPr>
      </w:pPr>
      <w:r w:rsidRPr="00CF6E45">
        <w:rPr>
          <w:rFonts w:ascii="Georgia" w:hAnsi="Georgia"/>
          <w:b/>
          <w:bCs/>
          <w:sz w:val="22"/>
        </w:rPr>
        <w:t xml:space="preserve">Action Required: </w:t>
      </w:r>
    </w:p>
    <w:p w14:paraId="4ACAB42A" w14:textId="77777777" w:rsidR="008D19E8" w:rsidRPr="00CF6E45" w:rsidRDefault="00C425A1" w:rsidP="007F48A5">
      <w:pPr>
        <w:pStyle w:val="Level4Number"/>
        <w:numPr>
          <w:ilvl w:val="2"/>
          <w:numId w:val="22"/>
        </w:numPr>
        <w:spacing w:line="276" w:lineRule="auto"/>
        <w:rPr>
          <w:rFonts w:ascii="Georgia" w:hAnsi="Georgia"/>
          <w:sz w:val="22"/>
        </w:rPr>
      </w:pPr>
      <w:r w:rsidRPr="00CF6E45">
        <w:rPr>
          <w:rFonts w:ascii="Georgia" w:hAnsi="Georgia"/>
          <w:sz w:val="22"/>
        </w:rPr>
        <w:t>Insert the parties' details (including, where applicable, full legal name, legal form, registration number, and registered office address for each party).</w:t>
      </w:r>
    </w:p>
    <w:p w14:paraId="5D6E82A7" w14:textId="77777777" w:rsidR="008D19E8" w:rsidRPr="00CF6E45" w:rsidRDefault="00C425A1" w:rsidP="007F48A5">
      <w:pPr>
        <w:pStyle w:val="Level4Number"/>
        <w:numPr>
          <w:ilvl w:val="2"/>
          <w:numId w:val="22"/>
        </w:numPr>
        <w:spacing w:line="276" w:lineRule="auto"/>
        <w:rPr>
          <w:rFonts w:ascii="Georgia" w:hAnsi="Georgia"/>
          <w:sz w:val="22"/>
        </w:rPr>
      </w:pPr>
      <w:r w:rsidRPr="00CF6E45">
        <w:rPr>
          <w:rFonts w:ascii="Georgia" w:hAnsi="Georgia"/>
          <w:sz w:val="22"/>
        </w:rPr>
        <w:t>Review these provisions to determine if any changes are needed to reflect your project or if you wish to provide additional background context.</w:t>
      </w:r>
    </w:p>
    <w:p w14:paraId="739720E0" w14:textId="77777777" w:rsidR="008D19E8" w:rsidRPr="00CF6E45" w:rsidRDefault="00C425A1" w:rsidP="007F48A5">
      <w:pPr>
        <w:pStyle w:val="Level4Number"/>
        <w:numPr>
          <w:ilvl w:val="2"/>
          <w:numId w:val="22"/>
        </w:numPr>
        <w:spacing w:line="276" w:lineRule="auto"/>
        <w:rPr>
          <w:rFonts w:ascii="Georgia" w:hAnsi="Georgia"/>
          <w:sz w:val="22"/>
        </w:rPr>
      </w:pPr>
      <w:r w:rsidRPr="00CF6E45">
        <w:rPr>
          <w:rFonts w:ascii="Georgia" w:hAnsi="Georgia"/>
          <w:sz w:val="22"/>
        </w:rPr>
        <w:t xml:space="preserve">Confirm the legal form of each party and amend it if either the </w:t>
      </w:r>
      <w:proofErr w:type="spellStart"/>
      <w:r w:rsidRPr="00CF6E45">
        <w:rPr>
          <w:rFonts w:ascii="Georgia" w:hAnsi="Georgia"/>
          <w:sz w:val="22"/>
        </w:rPr>
        <w:t>Chargor</w:t>
      </w:r>
      <w:proofErr w:type="spellEnd"/>
      <w:r w:rsidRPr="00CF6E45">
        <w:rPr>
          <w:rFonts w:ascii="Georgia" w:hAnsi="Georgia"/>
          <w:sz w:val="22"/>
        </w:rPr>
        <w:t xml:space="preserve"> or CEG is a different form of entity from those assumed in the Template.</w:t>
      </w:r>
    </w:p>
    <w:p w14:paraId="07D513E9" w14:textId="77777777" w:rsidR="008D19E8" w:rsidRPr="00CF6E45" w:rsidRDefault="00C425A1" w:rsidP="007F48A5">
      <w:pPr>
        <w:pStyle w:val="Level4Number"/>
        <w:numPr>
          <w:ilvl w:val="2"/>
          <w:numId w:val="22"/>
        </w:numPr>
        <w:spacing w:line="276" w:lineRule="auto"/>
        <w:rPr>
          <w:rFonts w:ascii="Georgia" w:hAnsi="Georgia"/>
          <w:sz w:val="22"/>
        </w:rPr>
      </w:pPr>
      <w:r w:rsidRPr="00CF6E45">
        <w:rPr>
          <w:rFonts w:ascii="Georgia" w:hAnsi="Georgia"/>
          <w:sz w:val="22"/>
        </w:rPr>
        <w:t>Review the Recitals</w:t>
      </w:r>
      <w:r w:rsidR="007A5ADE" w:rsidRPr="00CF6E45">
        <w:rPr>
          <w:rFonts w:ascii="Georgia" w:hAnsi="Georgia"/>
          <w:sz w:val="22"/>
        </w:rPr>
        <w:t xml:space="preserve"> (Background)</w:t>
      </w:r>
      <w:r w:rsidRPr="00CF6E45">
        <w:rPr>
          <w:rFonts w:ascii="Georgia" w:hAnsi="Georgia"/>
          <w:sz w:val="22"/>
        </w:rPr>
        <w:t xml:space="preserve"> and update them if necessary. </w:t>
      </w:r>
    </w:p>
    <w:p w14:paraId="14697FBA"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Guidance to CEG</w:t>
      </w:r>
      <w:r w:rsidRPr="00CF6E45">
        <w:rPr>
          <w:rFonts w:ascii="Georgia" w:hAnsi="Georgia"/>
          <w:sz w:val="22"/>
        </w:rPr>
        <w:t xml:space="preserve">: The borrowing party (e.g. Developer) is referred to as the </w:t>
      </w:r>
      <w:r w:rsidRPr="00CF6E45">
        <w:rPr>
          <w:rFonts w:ascii="Georgia" w:hAnsi="Georgia"/>
          <w:b/>
          <w:bCs/>
          <w:sz w:val="22"/>
        </w:rPr>
        <w:t xml:space="preserve">Borrower </w:t>
      </w:r>
      <w:r w:rsidRPr="00CF6E45">
        <w:rPr>
          <w:rFonts w:ascii="Georgia" w:hAnsi="Georgia"/>
          <w:sz w:val="22"/>
        </w:rPr>
        <w:t xml:space="preserve">under the relevant finance document (Shareholder Loan or Facility Agreement) but is referred to as the </w:t>
      </w:r>
      <w:proofErr w:type="spellStart"/>
      <w:r w:rsidRPr="00CF6E45">
        <w:rPr>
          <w:rFonts w:ascii="Georgia" w:hAnsi="Georgia"/>
          <w:b/>
          <w:bCs/>
          <w:sz w:val="22"/>
        </w:rPr>
        <w:t>Chargor</w:t>
      </w:r>
      <w:proofErr w:type="spellEnd"/>
      <w:r w:rsidRPr="00CF6E45">
        <w:rPr>
          <w:rFonts w:ascii="Georgia" w:hAnsi="Georgia"/>
          <w:sz w:val="22"/>
        </w:rPr>
        <w:t xml:space="preserve"> in this Share </w:t>
      </w:r>
      <w:r w:rsidR="00DE02EF" w:rsidRPr="00CF6E45">
        <w:rPr>
          <w:rFonts w:ascii="Georgia" w:hAnsi="Georgia"/>
          <w:sz w:val="22"/>
        </w:rPr>
        <w:t>Pledge</w:t>
      </w:r>
      <w:r w:rsidRPr="00CF6E45">
        <w:rPr>
          <w:rFonts w:ascii="Georgia" w:hAnsi="Georgia"/>
          <w:sz w:val="22"/>
        </w:rPr>
        <w:t>.</w:t>
      </w:r>
    </w:p>
    <w:p w14:paraId="2E55D13F"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1: Definitions and Interpretation </w:t>
      </w:r>
    </w:p>
    <w:p w14:paraId="2D492D16"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xml:space="preserve">: The definitions section establishes clear, consistent meanings for key terms that are used multiple times throughout the Template, or terms that have specific meanings different from ordinary use. All defined terms are capitalised (e.g. Secured Assets). </w:t>
      </w:r>
      <w:r w:rsidR="007A5ADE" w:rsidRPr="00CF6E45">
        <w:rPr>
          <w:rFonts w:ascii="Georgia" w:hAnsi="Georgia"/>
          <w:sz w:val="22"/>
        </w:rPr>
        <w:t xml:space="preserve">Clause 1.2.19 is specifically required by the Moveable Transactions (Scotland) Act 2023. </w:t>
      </w:r>
      <w:r w:rsidRPr="00CF6E45">
        <w:rPr>
          <w:rFonts w:ascii="Georgia" w:hAnsi="Georgia"/>
          <w:sz w:val="22"/>
        </w:rPr>
        <w:t xml:space="preserve">Clause 1.3 protects the CEG if the </w:t>
      </w:r>
      <w:proofErr w:type="spellStart"/>
      <w:r w:rsidRPr="00CF6E45">
        <w:rPr>
          <w:rFonts w:ascii="Georgia" w:hAnsi="Georgia"/>
          <w:sz w:val="22"/>
        </w:rPr>
        <w:t>Chargor</w:t>
      </w:r>
      <w:proofErr w:type="spellEnd"/>
      <w:r w:rsidRPr="00CF6E45">
        <w:rPr>
          <w:rFonts w:ascii="Georgia" w:hAnsi="Georgia"/>
          <w:sz w:val="22"/>
        </w:rPr>
        <w:t xml:space="preserve"> makes a payment to the CEG, but that payment is later taken back (or "clawed back") by an insolvency practitioner.</w:t>
      </w:r>
    </w:p>
    <w:p w14:paraId="6B537E9B" w14:textId="77777777" w:rsidR="008D19E8" w:rsidRPr="00CF6E45" w:rsidRDefault="00C425A1" w:rsidP="007F48A5">
      <w:pPr>
        <w:pStyle w:val="Level3Number"/>
        <w:numPr>
          <w:ilvl w:val="0"/>
          <w:numId w:val="0"/>
        </w:numPr>
        <w:spacing w:line="276" w:lineRule="auto"/>
        <w:ind w:left="1728" w:hanging="1008"/>
        <w:rPr>
          <w:rFonts w:ascii="Georgia" w:hAnsi="Georgia"/>
          <w:sz w:val="22"/>
        </w:rPr>
      </w:pPr>
      <w:r w:rsidRPr="00CF6E45">
        <w:rPr>
          <w:rFonts w:ascii="Georgia" w:hAnsi="Georgia"/>
          <w:b/>
          <w:sz w:val="22"/>
        </w:rPr>
        <w:t xml:space="preserve">Action Required: </w:t>
      </w:r>
    </w:p>
    <w:p w14:paraId="530940B8" w14:textId="77777777" w:rsidR="00636A41" w:rsidRPr="00CF6E45" w:rsidRDefault="00C425A1" w:rsidP="007F48A5">
      <w:pPr>
        <w:pStyle w:val="BodyText2"/>
        <w:numPr>
          <w:ilvl w:val="0"/>
          <w:numId w:val="23"/>
        </w:numPr>
        <w:spacing w:line="276" w:lineRule="auto"/>
        <w:rPr>
          <w:rFonts w:ascii="Georgia" w:hAnsi="Georgia"/>
          <w:sz w:val="22"/>
        </w:rPr>
      </w:pPr>
      <w:r w:rsidRPr="00CF6E45">
        <w:rPr>
          <w:rFonts w:ascii="Georgia" w:hAnsi="Georgia"/>
          <w:sz w:val="22"/>
        </w:rPr>
        <w:t xml:space="preserve">Review the definitions and insert relevant information where there are </w:t>
      </w:r>
      <w:proofErr w:type="gramStart"/>
      <w:r w:rsidRPr="00CF6E45">
        <w:rPr>
          <w:rFonts w:ascii="Georgia" w:hAnsi="Georgia"/>
          <w:sz w:val="22"/>
        </w:rPr>
        <w:t>[ ]</w:t>
      </w:r>
      <w:proofErr w:type="gramEnd"/>
      <w:r w:rsidRPr="00CF6E45">
        <w:rPr>
          <w:rFonts w:ascii="Georgia" w:hAnsi="Georgia"/>
          <w:sz w:val="22"/>
        </w:rPr>
        <w:t>.</w:t>
      </w:r>
    </w:p>
    <w:p w14:paraId="3E1E2584" w14:textId="240E48BD" w:rsidR="008D19E8" w:rsidRPr="00CF6E45" w:rsidRDefault="00C425A1" w:rsidP="007F48A5">
      <w:pPr>
        <w:pStyle w:val="BodyText2"/>
        <w:numPr>
          <w:ilvl w:val="0"/>
          <w:numId w:val="23"/>
        </w:numPr>
        <w:spacing w:line="276" w:lineRule="auto"/>
        <w:rPr>
          <w:rFonts w:ascii="Georgia" w:hAnsi="Georgia"/>
          <w:sz w:val="22"/>
          <w:lang w:eastAsia="en-GB"/>
        </w:rPr>
      </w:pPr>
      <w:r w:rsidRPr="00CF6E45">
        <w:rPr>
          <w:rFonts w:ascii="Georgia" w:hAnsi="Georgia"/>
          <w:sz w:val="22"/>
          <w:lang w:eastAsia="en-GB"/>
        </w:rPr>
        <w:t>Review all definitions to ensure they are appropriate to your circumstances and amend/delete/add definitions as necessary.</w:t>
      </w:r>
    </w:p>
    <w:p w14:paraId="25920D19"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2: </w:t>
      </w:r>
      <w:r w:rsidR="00A4662D" w:rsidRPr="00CF6E45">
        <w:rPr>
          <w:rFonts w:ascii="Georgia" w:hAnsi="Georgia"/>
          <w:sz w:val="22"/>
          <w:u w:val="single"/>
        </w:rPr>
        <w:t xml:space="preserve">Undertaking </w:t>
      </w:r>
      <w:r w:rsidRPr="00CF6E45">
        <w:rPr>
          <w:rFonts w:ascii="Georgia" w:hAnsi="Georgia"/>
          <w:sz w:val="22"/>
          <w:u w:val="single"/>
        </w:rPr>
        <w:t>to Pay</w:t>
      </w:r>
    </w:p>
    <w:p w14:paraId="6F0D513F" w14:textId="77777777" w:rsidR="008D19E8" w:rsidRPr="00CF6E45" w:rsidRDefault="00C425A1" w:rsidP="007F48A5">
      <w:pPr>
        <w:pStyle w:val="BodyText2"/>
        <w:spacing w:line="276" w:lineRule="auto"/>
        <w:rPr>
          <w:rFonts w:ascii="Georgia" w:hAnsi="Georgia"/>
          <w:sz w:val="22"/>
        </w:rPr>
      </w:pPr>
      <w:r w:rsidRPr="00CF6E45">
        <w:rPr>
          <w:rFonts w:ascii="Georgia" w:hAnsi="Georgia"/>
          <w:b/>
          <w:sz w:val="22"/>
        </w:rPr>
        <w:t>Purpose</w:t>
      </w:r>
      <w:r w:rsidRPr="00CF6E45">
        <w:rPr>
          <w:rFonts w:ascii="Georgia" w:hAnsi="Georgia"/>
          <w:sz w:val="22"/>
        </w:rPr>
        <w:t xml:space="preserve">: The </w:t>
      </w:r>
      <w:proofErr w:type="spellStart"/>
      <w:r w:rsidRPr="00CF6E45">
        <w:rPr>
          <w:rFonts w:ascii="Georgia" w:hAnsi="Georgia"/>
          <w:sz w:val="22"/>
        </w:rPr>
        <w:t>Chargor</w:t>
      </w:r>
      <w:proofErr w:type="spellEnd"/>
      <w:r w:rsidRPr="00CF6E45">
        <w:rPr>
          <w:rFonts w:ascii="Georgia" w:hAnsi="Georgia"/>
          <w:sz w:val="22"/>
        </w:rPr>
        <w:t xml:space="preserve"> agrees to pay to the Lender and discharge the Secured Liabilities (i.e. everything it or the </w:t>
      </w:r>
      <w:r w:rsidR="00A4662D" w:rsidRPr="00CF6E45">
        <w:rPr>
          <w:rFonts w:ascii="Georgia" w:hAnsi="Georgia"/>
          <w:sz w:val="22"/>
        </w:rPr>
        <w:t>B</w:t>
      </w:r>
      <w:r w:rsidRPr="00CF6E45">
        <w:rPr>
          <w:rFonts w:ascii="Georgia" w:hAnsi="Georgia"/>
          <w:sz w:val="22"/>
        </w:rPr>
        <w:t xml:space="preserve">orrower owes) when they become due, and this clause limits the </w:t>
      </w:r>
      <w:proofErr w:type="spellStart"/>
      <w:r w:rsidRPr="00CF6E45">
        <w:rPr>
          <w:rFonts w:ascii="Georgia" w:hAnsi="Georgia"/>
          <w:sz w:val="22"/>
        </w:rPr>
        <w:t>Chargor's</w:t>
      </w:r>
      <w:proofErr w:type="spellEnd"/>
      <w:r w:rsidRPr="00CF6E45">
        <w:rPr>
          <w:rFonts w:ascii="Georgia" w:hAnsi="Georgia"/>
          <w:sz w:val="22"/>
        </w:rPr>
        <w:t xml:space="preserve"> liability pursuant to the Share </w:t>
      </w:r>
      <w:r w:rsidR="00A4662D" w:rsidRPr="00CF6E45">
        <w:rPr>
          <w:rFonts w:ascii="Georgia" w:hAnsi="Georgia"/>
          <w:sz w:val="22"/>
        </w:rPr>
        <w:t xml:space="preserve">Pledge </w:t>
      </w:r>
      <w:r w:rsidRPr="00CF6E45">
        <w:rPr>
          <w:rFonts w:ascii="Georgia" w:hAnsi="Georgia"/>
          <w:sz w:val="22"/>
        </w:rPr>
        <w:t xml:space="preserve">to the value recoverable from the Secured Assets (i.e. the shares being charged). </w:t>
      </w:r>
    </w:p>
    <w:p w14:paraId="6CF2BD91"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3: </w:t>
      </w:r>
      <w:r w:rsidR="00FA4F67" w:rsidRPr="00CF6E45">
        <w:rPr>
          <w:rFonts w:ascii="Georgia" w:hAnsi="Georgia"/>
          <w:sz w:val="22"/>
          <w:u w:val="single"/>
        </w:rPr>
        <w:t>Creation</w:t>
      </w:r>
      <w:r w:rsidRPr="00CF6E45">
        <w:rPr>
          <w:rFonts w:ascii="Georgia" w:hAnsi="Georgia"/>
          <w:sz w:val="22"/>
          <w:u w:val="single"/>
        </w:rPr>
        <w:t xml:space="preserve"> of Security </w:t>
      </w:r>
    </w:p>
    <w:p w14:paraId="375F623B" w14:textId="77777777" w:rsidR="00FA4F67"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xml:space="preserve">: This clause sets out Scots law specific requirements for the creation of fixed securities (statutory pledges) and requires the </w:t>
      </w:r>
      <w:proofErr w:type="spellStart"/>
      <w:r w:rsidRPr="00CF6E45">
        <w:rPr>
          <w:rFonts w:ascii="Georgia" w:hAnsi="Georgia"/>
          <w:sz w:val="22"/>
        </w:rPr>
        <w:t>Chargor</w:t>
      </w:r>
      <w:proofErr w:type="spellEnd"/>
      <w:r w:rsidRPr="00CF6E45">
        <w:rPr>
          <w:rFonts w:ascii="Georgia" w:hAnsi="Georgia"/>
          <w:sz w:val="22"/>
        </w:rPr>
        <w:t xml:space="preserve"> to guarantee (grant warrandice) that it </w:t>
      </w:r>
      <w:proofErr w:type="gramStart"/>
      <w:r w:rsidRPr="00CF6E45">
        <w:rPr>
          <w:rFonts w:ascii="Georgia" w:hAnsi="Georgia"/>
          <w:sz w:val="22"/>
        </w:rPr>
        <w:t>is able to</w:t>
      </w:r>
      <w:proofErr w:type="gramEnd"/>
      <w:r w:rsidRPr="00CF6E45">
        <w:rPr>
          <w:rFonts w:ascii="Georgia" w:hAnsi="Georgia"/>
          <w:sz w:val="22"/>
        </w:rPr>
        <w:t xml:space="preserve"> create the fixed security.</w:t>
      </w:r>
    </w:p>
    <w:p w14:paraId="61484354" w14:textId="77777777" w:rsidR="00FA4F67" w:rsidRPr="00CF6E45" w:rsidRDefault="00C425A1" w:rsidP="007F48A5">
      <w:pPr>
        <w:pStyle w:val="Level3Number"/>
        <w:numPr>
          <w:ilvl w:val="0"/>
          <w:numId w:val="0"/>
        </w:numPr>
        <w:spacing w:line="276" w:lineRule="auto"/>
        <w:ind w:left="720"/>
        <w:rPr>
          <w:rFonts w:ascii="Georgia" w:hAnsi="Georgia"/>
          <w:b/>
          <w:sz w:val="22"/>
        </w:rPr>
      </w:pPr>
      <w:r w:rsidRPr="00CF6E45">
        <w:rPr>
          <w:rFonts w:ascii="Georgia" w:hAnsi="Georgia"/>
          <w:b/>
          <w:sz w:val="22"/>
        </w:rPr>
        <w:lastRenderedPageBreak/>
        <w:t xml:space="preserve">Guidance to CEG: </w:t>
      </w:r>
      <w:r w:rsidRPr="00CF6E45">
        <w:rPr>
          <w:rFonts w:ascii="Georgia" w:hAnsi="Georgia"/>
          <w:bCs/>
          <w:sz w:val="22"/>
        </w:rPr>
        <w:t>The requirements should not be deleted as, to do so, risks ineffective security being granted under the Share Pledge.</w:t>
      </w:r>
    </w:p>
    <w:p w14:paraId="2C4BDBD0" w14:textId="77777777" w:rsidR="00FA4F67"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4: Security</w:t>
      </w:r>
    </w:p>
    <w:p w14:paraId="753C7C6C"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xml:space="preserve">: This clause </w:t>
      </w:r>
      <w:r w:rsidR="00032620" w:rsidRPr="00CF6E45">
        <w:rPr>
          <w:rFonts w:ascii="Georgia" w:hAnsi="Georgia"/>
          <w:sz w:val="22"/>
        </w:rPr>
        <w:t xml:space="preserve">grants </w:t>
      </w:r>
      <w:r w:rsidRPr="00CF6E45">
        <w:rPr>
          <w:rFonts w:ascii="Georgia" w:hAnsi="Georgia"/>
          <w:sz w:val="22"/>
        </w:rPr>
        <w:t xml:space="preserve">the security interests over the </w:t>
      </w:r>
      <w:proofErr w:type="spellStart"/>
      <w:r w:rsidRPr="00CF6E45">
        <w:rPr>
          <w:rFonts w:ascii="Georgia" w:hAnsi="Georgia"/>
          <w:sz w:val="22"/>
        </w:rPr>
        <w:t>Chargor's</w:t>
      </w:r>
      <w:proofErr w:type="spellEnd"/>
      <w:r w:rsidRPr="00CF6E45">
        <w:rPr>
          <w:rFonts w:ascii="Georgia" w:hAnsi="Georgia"/>
          <w:sz w:val="22"/>
        </w:rPr>
        <w:t xml:space="preserve"> shares</w:t>
      </w:r>
      <w:r w:rsidR="00A4662D" w:rsidRPr="00CF6E45">
        <w:rPr>
          <w:rFonts w:ascii="Georgia" w:hAnsi="Georgia"/>
          <w:sz w:val="22"/>
        </w:rPr>
        <w:t xml:space="preserve"> in the Borrower</w:t>
      </w:r>
      <w:r w:rsidRPr="00CF6E45">
        <w:rPr>
          <w:rFonts w:ascii="Georgia" w:hAnsi="Georgia"/>
          <w:sz w:val="22"/>
        </w:rPr>
        <w:t>. The security package comprises:</w:t>
      </w:r>
    </w:p>
    <w:p w14:paraId="2C7E2E7A" w14:textId="77777777" w:rsidR="008D19E8" w:rsidRPr="00CF6E45" w:rsidRDefault="00C425A1" w:rsidP="007F48A5">
      <w:pPr>
        <w:pStyle w:val="BodyText2"/>
        <w:numPr>
          <w:ilvl w:val="0"/>
          <w:numId w:val="24"/>
        </w:numPr>
        <w:spacing w:line="276" w:lineRule="auto"/>
        <w:rPr>
          <w:rFonts w:ascii="Georgia" w:hAnsi="Georgia"/>
          <w:sz w:val="22"/>
        </w:rPr>
      </w:pPr>
      <w:r w:rsidRPr="00CF6E45">
        <w:rPr>
          <w:rFonts w:ascii="Georgia" w:hAnsi="Georgia"/>
          <w:sz w:val="22"/>
        </w:rPr>
        <w:t xml:space="preserve">Separate fixed securities (statutory pledges) over all shares in the Borrower owned by the </w:t>
      </w:r>
      <w:proofErr w:type="spellStart"/>
      <w:r w:rsidRPr="00CF6E45">
        <w:rPr>
          <w:rFonts w:ascii="Georgia" w:hAnsi="Georgia"/>
          <w:sz w:val="22"/>
        </w:rPr>
        <w:t>Chargor</w:t>
      </w:r>
      <w:proofErr w:type="spellEnd"/>
      <w:r w:rsidRPr="00CF6E45">
        <w:rPr>
          <w:rFonts w:ascii="Georgia" w:hAnsi="Georgia"/>
          <w:sz w:val="22"/>
        </w:rPr>
        <w:t xml:space="preserve"> at the time of granting the Share Pledge, and over any other shares in the Borrower subsequently owned by the </w:t>
      </w:r>
      <w:proofErr w:type="spellStart"/>
      <w:r w:rsidRPr="00CF6E45">
        <w:rPr>
          <w:rFonts w:ascii="Georgia" w:hAnsi="Georgia"/>
          <w:sz w:val="22"/>
        </w:rPr>
        <w:t>Chargor</w:t>
      </w:r>
      <w:proofErr w:type="spellEnd"/>
      <w:r w:rsidRPr="00CF6E45">
        <w:rPr>
          <w:rFonts w:ascii="Georgia" w:hAnsi="Georgia"/>
          <w:sz w:val="22"/>
        </w:rPr>
        <w:t>; and</w:t>
      </w:r>
    </w:p>
    <w:p w14:paraId="7FC9BFE1" w14:textId="51FC527B" w:rsidR="008D19E8" w:rsidRPr="00CF6E45" w:rsidRDefault="00C425A1" w:rsidP="007F48A5">
      <w:pPr>
        <w:pStyle w:val="BodyText2"/>
        <w:numPr>
          <w:ilvl w:val="0"/>
          <w:numId w:val="24"/>
        </w:numPr>
        <w:spacing w:line="276" w:lineRule="auto"/>
        <w:rPr>
          <w:rFonts w:ascii="Georgia" w:hAnsi="Georgia"/>
          <w:sz w:val="22"/>
        </w:rPr>
      </w:pPr>
      <w:r w:rsidRPr="00CF6E45">
        <w:rPr>
          <w:rFonts w:ascii="Georgia" w:hAnsi="Georgia"/>
          <w:sz w:val="22"/>
        </w:rPr>
        <w:t xml:space="preserve">Fixed </w:t>
      </w:r>
      <w:r w:rsidR="00A4662D" w:rsidRPr="00CF6E45">
        <w:rPr>
          <w:rFonts w:ascii="Georgia" w:hAnsi="Georgia"/>
          <w:sz w:val="22"/>
        </w:rPr>
        <w:t xml:space="preserve">security (assignation in security) </w:t>
      </w:r>
      <w:r w:rsidRPr="00CF6E45">
        <w:rPr>
          <w:rFonts w:ascii="Georgia" w:hAnsi="Georgia"/>
          <w:sz w:val="22"/>
        </w:rPr>
        <w:t>over all Related Rights (including dividends, interest, distributions and any rights, money or property accruing in relation to the shares).</w:t>
      </w:r>
      <w:r w:rsidR="00A4662D" w:rsidRPr="00CF6E45">
        <w:rPr>
          <w:rFonts w:ascii="Georgia" w:hAnsi="Georgia"/>
          <w:sz w:val="22"/>
        </w:rPr>
        <w:t xml:space="preserve"> The Related Rights do not include voting rights in respect of the shares</w:t>
      </w:r>
      <w:r w:rsidR="004D2EF3" w:rsidRPr="00CF6E45">
        <w:rPr>
          <w:rFonts w:ascii="Georgia" w:hAnsi="Georgia"/>
          <w:sz w:val="22"/>
        </w:rPr>
        <w:t xml:space="preserve"> </w:t>
      </w:r>
      <w:r w:rsidR="00FA4F67" w:rsidRPr="00CF6E45">
        <w:rPr>
          <w:rFonts w:ascii="Georgia" w:hAnsi="Georgia"/>
          <w:sz w:val="22"/>
        </w:rPr>
        <w:t>(</w:t>
      </w:r>
      <w:r w:rsidR="004D2EF3" w:rsidRPr="00CF6E45">
        <w:rPr>
          <w:rFonts w:ascii="Georgia" w:hAnsi="Georgia"/>
          <w:sz w:val="22"/>
        </w:rPr>
        <w:t>see paragraph</w:t>
      </w:r>
      <w:r w:rsidR="00FA4F67" w:rsidRPr="00CF6E45">
        <w:rPr>
          <w:rFonts w:ascii="Georgia" w:hAnsi="Georgia"/>
          <w:sz w:val="22"/>
        </w:rPr>
        <w:t xml:space="preserve"> </w:t>
      </w:r>
      <w:r w:rsidR="00FA4F67" w:rsidRPr="00CF6E45">
        <w:rPr>
          <w:rFonts w:ascii="Georgia" w:hAnsi="Georgia"/>
          <w:sz w:val="22"/>
        </w:rPr>
        <w:fldChar w:fldCharType="begin"/>
      </w:r>
      <w:r w:rsidR="00FA4F67" w:rsidRPr="00CF6E45">
        <w:rPr>
          <w:rFonts w:ascii="Georgia" w:hAnsi="Georgia"/>
          <w:sz w:val="22"/>
        </w:rPr>
        <w:instrText xml:space="preserve"> REF _Ref227084123 \r \h </w:instrText>
      </w:r>
      <w:r w:rsidR="004B1AED" w:rsidRPr="00CF6E45">
        <w:rPr>
          <w:rFonts w:ascii="Georgia" w:hAnsi="Georgia"/>
          <w:sz w:val="22"/>
        </w:rPr>
        <w:instrText xml:space="preserve"> \* MERGEFORMAT </w:instrText>
      </w:r>
      <w:r w:rsidR="00FA4F67" w:rsidRPr="00CF6E45">
        <w:rPr>
          <w:rFonts w:ascii="Georgia" w:hAnsi="Georgia"/>
          <w:sz w:val="22"/>
        </w:rPr>
      </w:r>
      <w:r w:rsidR="00FA4F67" w:rsidRPr="00CF6E45">
        <w:rPr>
          <w:rFonts w:ascii="Georgia" w:hAnsi="Georgia"/>
          <w:sz w:val="22"/>
        </w:rPr>
        <w:fldChar w:fldCharType="separate"/>
      </w:r>
      <w:r w:rsidR="00390251" w:rsidRPr="00CF6E45">
        <w:rPr>
          <w:rFonts w:ascii="Georgia" w:hAnsi="Georgia"/>
          <w:sz w:val="22"/>
        </w:rPr>
        <w:t>3.12.3</w:t>
      </w:r>
      <w:r w:rsidR="00FA4F67" w:rsidRPr="00CF6E45">
        <w:rPr>
          <w:rFonts w:ascii="Georgia" w:hAnsi="Georgia"/>
          <w:sz w:val="22"/>
        </w:rPr>
        <w:fldChar w:fldCharType="end"/>
      </w:r>
      <w:r w:rsidR="004D2EF3" w:rsidRPr="00CF6E45">
        <w:rPr>
          <w:rFonts w:ascii="Georgia" w:hAnsi="Georgia"/>
          <w:sz w:val="22"/>
        </w:rPr>
        <w:t xml:space="preserve"> below</w:t>
      </w:r>
      <w:r w:rsidR="00FA4F67" w:rsidRPr="00CF6E45">
        <w:rPr>
          <w:rFonts w:ascii="Georgia" w:hAnsi="Georgia"/>
          <w:sz w:val="22"/>
        </w:rPr>
        <w:t>)</w:t>
      </w:r>
      <w:r w:rsidR="00A4662D" w:rsidRPr="00CF6E45">
        <w:rPr>
          <w:rFonts w:ascii="Georgia" w:hAnsi="Georgia"/>
          <w:sz w:val="22"/>
        </w:rPr>
        <w:t>.</w:t>
      </w:r>
    </w:p>
    <w:p w14:paraId="79D31877"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Guidance to CEG</w:t>
      </w:r>
      <w:r w:rsidRPr="00CF6E45">
        <w:rPr>
          <w:rFonts w:ascii="Georgia" w:hAnsi="Georgia"/>
          <w:sz w:val="22"/>
        </w:rPr>
        <w:t>: The security is granted as "continuing security", meaning it remains in place until all amounts owed have been fully and finally repaid. It is also granted on a "</w:t>
      </w:r>
      <w:proofErr w:type="gramStart"/>
      <w:r w:rsidRPr="00CF6E45">
        <w:rPr>
          <w:rFonts w:ascii="Georgia" w:hAnsi="Georgia"/>
          <w:sz w:val="22"/>
        </w:rPr>
        <w:t>first-ranking</w:t>
      </w:r>
      <w:proofErr w:type="gramEnd"/>
      <w:r w:rsidRPr="00CF6E45">
        <w:rPr>
          <w:rFonts w:ascii="Georgia" w:hAnsi="Georgia"/>
          <w:sz w:val="22"/>
        </w:rPr>
        <w:t>" basis, meaning the CEG has priority over other creditors (subject to certain statutory exceptions and any third-party senior lender security ranking ahead under an intercreditor agreement/deed of priority).</w:t>
      </w:r>
    </w:p>
    <w:p w14:paraId="325E85A4"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w:t>
      </w:r>
      <w:r w:rsidR="00FA4F67" w:rsidRPr="00CF6E45">
        <w:rPr>
          <w:rFonts w:ascii="Georgia" w:hAnsi="Georgia"/>
          <w:sz w:val="22"/>
          <w:u w:val="single"/>
        </w:rPr>
        <w:t>5</w:t>
      </w:r>
      <w:r w:rsidRPr="00CF6E45">
        <w:rPr>
          <w:rFonts w:ascii="Georgia" w:hAnsi="Georgia"/>
          <w:sz w:val="22"/>
          <w:u w:val="single"/>
        </w:rPr>
        <w:t xml:space="preserve">: Liability of the </w:t>
      </w:r>
      <w:proofErr w:type="spellStart"/>
      <w:r w:rsidRPr="00CF6E45">
        <w:rPr>
          <w:rFonts w:ascii="Georgia" w:hAnsi="Georgia"/>
          <w:sz w:val="22"/>
          <w:u w:val="single"/>
        </w:rPr>
        <w:t>Chargor</w:t>
      </w:r>
      <w:proofErr w:type="spellEnd"/>
    </w:p>
    <w:p w14:paraId="6F39BA85"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xml:space="preserve">: This clause protects the CEG by ensuring the </w:t>
      </w:r>
      <w:proofErr w:type="spellStart"/>
      <w:r w:rsidRPr="00CF6E45">
        <w:rPr>
          <w:rFonts w:ascii="Georgia" w:hAnsi="Georgia"/>
          <w:sz w:val="22"/>
        </w:rPr>
        <w:t>Chargor's</w:t>
      </w:r>
      <w:proofErr w:type="spellEnd"/>
      <w:r w:rsidRPr="00CF6E45">
        <w:rPr>
          <w:rFonts w:ascii="Georgia" w:hAnsi="Georgia"/>
          <w:sz w:val="22"/>
        </w:rPr>
        <w:t xml:space="preserve"> liability is not inadvertently discharged, including where the Lender varies the </w:t>
      </w:r>
      <w:r w:rsidR="00FA4F67" w:rsidRPr="00CF6E45">
        <w:rPr>
          <w:rFonts w:ascii="Georgia" w:hAnsi="Georgia"/>
          <w:sz w:val="22"/>
        </w:rPr>
        <w:t>Facility</w:t>
      </w:r>
      <w:r w:rsidRPr="00CF6E45">
        <w:rPr>
          <w:rFonts w:ascii="Georgia" w:hAnsi="Georgia"/>
          <w:sz w:val="22"/>
        </w:rPr>
        <w:t xml:space="preserve"> </w:t>
      </w:r>
      <w:r w:rsidR="00FA4F67" w:rsidRPr="00CF6E45">
        <w:rPr>
          <w:rFonts w:ascii="Georgia" w:hAnsi="Georgia"/>
          <w:sz w:val="22"/>
        </w:rPr>
        <w:t>A</w:t>
      </w:r>
      <w:r w:rsidRPr="00CF6E45">
        <w:rPr>
          <w:rFonts w:ascii="Georgia" w:hAnsi="Georgia"/>
          <w:sz w:val="22"/>
        </w:rPr>
        <w:t>greement.</w:t>
      </w:r>
    </w:p>
    <w:p w14:paraId="14B56745"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The </w:t>
      </w:r>
      <w:proofErr w:type="spellStart"/>
      <w:r w:rsidRPr="00CF6E45">
        <w:rPr>
          <w:rFonts w:ascii="Georgia" w:hAnsi="Georgia"/>
          <w:sz w:val="22"/>
        </w:rPr>
        <w:t>Chargor</w:t>
      </w:r>
      <w:proofErr w:type="spellEnd"/>
      <w:r w:rsidRPr="00CF6E45">
        <w:rPr>
          <w:rFonts w:ascii="Georgia" w:hAnsi="Georgia"/>
          <w:sz w:val="22"/>
        </w:rPr>
        <w:t xml:space="preserve"> also waives certain rights it may have against the Lender that would make it harder for the Lender to enforce the Share </w:t>
      </w:r>
      <w:r w:rsidR="004D2EF3" w:rsidRPr="00CF6E45">
        <w:rPr>
          <w:rFonts w:ascii="Georgia" w:hAnsi="Georgia"/>
          <w:sz w:val="22"/>
        </w:rPr>
        <w:t xml:space="preserve">Pledge </w:t>
      </w:r>
      <w:r w:rsidRPr="00CF6E45">
        <w:rPr>
          <w:rFonts w:ascii="Georgia" w:hAnsi="Georgia"/>
          <w:sz w:val="22"/>
        </w:rPr>
        <w:t xml:space="preserve">(e.g. the right to require the Lender to pursue other parties or enforce other security before enforcing against the </w:t>
      </w:r>
      <w:proofErr w:type="spellStart"/>
      <w:r w:rsidRPr="00CF6E45">
        <w:rPr>
          <w:rFonts w:ascii="Georgia" w:hAnsi="Georgia"/>
          <w:sz w:val="22"/>
        </w:rPr>
        <w:t>Chargor</w:t>
      </w:r>
      <w:proofErr w:type="spellEnd"/>
      <w:r w:rsidRPr="00CF6E45">
        <w:rPr>
          <w:rFonts w:ascii="Georgia" w:hAnsi="Georgia"/>
          <w:sz w:val="22"/>
        </w:rPr>
        <w:t>).</w:t>
      </w:r>
    </w:p>
    <w:p w14:paraId="0E478BB9"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Clause </w:t>
      </w:r>
      <w:r w:rsidR="00FA4F67" w:rsidRPr="00CF6E45">
        <w:rPr>
          <w:rFonts w:ascii="Georgia" w:hAnsi="Georgia"/>
          <w:sz w:val="22"/>
        </w:rPr>
        <w:t>5</w:t>
      </w:r>
      <w:r w:rsidRPr="00CF6E45">
        <w:rPr>
          <w:rFonts w:ascii="Georgia" w:hAnsi="Georgia"/>
          <w:sz w:val="22"/>
        </w:rPr>
        <w:t xml:space="preserve">.3 prevents the </w:t>
      </w:r>
      <w:proofErr w:type="spellStart"/>
      <w:r w:rsidRPr="00CF6E45">
        <w:rPr>
          <w:rFonts w:ascii="Georgia" w:hAnsi="Georgia"/>
          <w:sz w:val="22"/>
        </w:rPr>
        <w:t>Chargor</w:t>
      </w:r>
      <w:proofErr w:type="spellEnd"/>
      <w:r w:rsidRPr="00CF6E45">
        <w:rPr>
          <w:rFonts w:ascii="Georgia" w:hAnsi="Georgia"/>
          <w:sz w:val="22"/>
        </w:rPr>
        <w:t xml:space="preserve"> from competing with the Lender for recovery and ensures the Lender gets paid in full before the </w:t>
      </w:r>
      <w:proofErr w:type="spellStart"/>
      <w:r w:rsidRPr="00CF6E45">
        <w:rPr>
          <w:rFonts w:ascii="Georgia" w:hAnsi="Georgia"/>
          <w:sz w:val="22"/>
        </w:rPr>
        <w:t>Chargor</w:t>
      </w:r>
      <w:proofErr w:type="spellEnd"/>
      <w:r w:rsidRPr="00CF6E45">
        <w:rPr>
          <w:rFonts w:ascii="Georgia" w:hAnsi="Georgia"/>
          <w:sz w:val="22"/>
        </w:rPr>
        <w:t xml:space="preserve"> can recover anything.</w:t>
      </w:r>
    </w:p>
    <w:p w14:paraId="69C800E3"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w:t>
      </w:r>
      <w:r w:rsidR="00FA4F67" w:rsidRPr="00CF6E45">
        <w:rPr>
          <w:rFonts w:ascii="Georgia" w:hAnsi="Georgia"/>
          <w:sz w:val="22"/>
          <w:u w:val="single"/>
        </w:rPr>
        <w:t>6</w:t>
      </w:r>
      <w:r w:rsidRPr="00CF6E45">
        <w:rPr>
          <w:rFonts w:ascii="Georgia" w:hAnsi="Georgia"/>
          <w:sz w:val="22"/>
          <w:u w:val="single"/>
        </w:rPr>
        <w:t xml:space="preserve">: Payments </w:t>
      </w:r>
    </w:p>
    <w:p w14:paraId="38D6E5A6" w14:textId="77777777" w:rsidR="008D19E8" w:rsidRPr="00CF6E45" w:rsidRDefault="00C425A1" w:rsidP="007F48A5">
      <w:pPr>
        <w:pStyle w:val="BodyText2"/>
        <w:spacing w:line="276" w:lineRule="auto"/>
        <w:rPr>
          <w:rFonts w:ascii="Georgia" w:hAnsi="Georgia"/>
          <w:sz w:val="22"/>
        </w:rPr>
      </w:pPr>
      <w:r w:rsidRPr="00CF6E45">
        <w:rPr>
          <w:rFonts w:ascii="Georgia" w:hAnsi="Georgia"/>
          <w:b/>
          <w:sz w:val="22"/>
        </w:rPr>
        <w:t>Purpose</w:t>
      </w:r>
      <w:r w:rsidRPr="00CF6E45">
        <w:rPr>
          <w:rFonts w:ascii="Georgia" w:hAnsi="Georgia"/>
          <w:sz w:val="22"/>
        </w:rPr>
        <w:t xml:space="preserve">: This clause requires that all payments made by the </w:t>
      </w:r>
      <w:proofErr w:type="spellStart"/>
      <w:r w:rsidRPr="00CF6E45">
        <w:rPr>
          <w:rFonts w:ascii="Georgia" w:hAnsi="Georgia"/>
          <w:sz w:val="22"/>
        </w:rPr>
        <w:t>Chargor</w:t>
      </w:r>
      <w:proofErr w:type="spellEnd"/>
      <w:r w:rsidRPr="00CF6E45">
        <w:rPr>
          <w:rFonts w:ascii="Georgia" w:hAnsi="Georgia"/>
          <w:sz w:val="22"/>
        </w:rPr>
        <w:t xml:space="preserve"> to the Lender are made in full, without any deduction, withholding, set-off</w:t>
      </w:r>
      <w:r w:rsidR="00F8183E" w:rsidRPr="00CF6E45">
        <w:rPr>
          <w:rFonts w:ascii="Georgia" w:hAnsi="Georgia"/>
          <w:sz w:val="22"/>
        </w:rPr>
        <w:t>, compensation</w:t>
      </w:r>
      <w:r w:rsidRPr="00CF6E45">
        <w:rPr>
          <w:rFonts w:ascii="Georgia" w:hAnsi="Georgia"/>
          <w:sz w:val="22"/>
        </w:rPr>
        <w:t xml:space="preserve"> or counterclaim (except where required by law). It also addresses what happens if tax must be withheld from payments and sets out when payments are due if they fall on non-Business Days.</w:t>
      </w:r>
    </w:p>
    <w:p w14:paraId="2734DB56"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w:t>
      </w:r>
      <w:r w:rsidR="00FA4F67" w:rsidRPr="00CF6E45">
        <w:rPr>
          <w:rFonts w:ascii="Georgia" w:hAnsi="Georgia"/>
          <w:sz w:val="22"/>
          <w:u w:val="single"/>
        </w:rPr>
        <w:t>7</w:t>
      </w:r>
      <w:r w:rsidRPr="00CF6E45">
        <w:rPr>
          <w:rFonts w:ascii="Georgia" w:hAnsi="Georgia"/>
          <w:sz w:val="22"/>
          <w:u w:val="single"/>
        </w:rPr>
        <w:t xml:space="preserve">: Representations and Warranties </w:t>
      </w:r>
    </w:p>
    <w:p w14:paraId="31CF3767"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xml:space="preserve">: In this clause, the </w:t>
      </w:r>
      <w:proofErr w:type="spellStart"/>
      <w:r w:rsidRPr="00CF6E45">
        <w:rPr>
          <w:rFonts w:ascii="Georgia" w:hAnsi="Georgia"/>
          <w:sz w:val="22"/>
        </w:rPr>
        <w:t>Chargor</w:t>
      </w:r>
      <w:proofErr w:type="spellEnd"/>
      <w:r w:rsidRPr="00CF6E45">
        <w:rPr>
          <w:rFonts w:ascii="Georgia" w:hAnsi="Georgia"/>
          <w:sz w:val="22"/>
        </w:rPr>
        <w:t xml:space="preserve"> makes factual statements (</w:t>
      </w:r>
      <w:r w:rsidR="00181E1F" w:rsidRPr="00CF6E45">
        <w:rPr>
          <w:rFonts w:ascii="Georgia" w:hAnsi="Georgia"/>
          <w:sz w:val="22"/>
        </w:rPr>
        <w:t>“</w:t>
      </w:r>
      <w:r w:rsidRPr="00CF6E45">
        <w:rPr>
          <w:rFonts w:ascii="Georgia" w:hAnsi="Georgia"/>
          <w:b/>
          <w:bCs/>
          <w:sz w:val="22"/>
        </w:rPr>
        <w:t>Warranties</w:t>
      </w:r>
      <w:r w:rsidR="00181E1F" w:rsidRPr="00CF6E45">
        <w:rPr>
          <w:rFonts w:ascii="Georgia" w:hAnsi="Georgia"/>
          <w:sz w:val="22"/>
        </w:rPr>
        <w:t>”</w:t>
      </w:r>
      <w:r w:rsidRPr="00CF6E45">
        <w:rPr>
          <w:rFonts w:ascii="Georgia" w:hAnsi="Georgia"/>
          <w:sz w:val="22"/>
        </w:rPr>
        <w:t xml:space="preserve">) about </w:t>
      </w:r>
      <w:r w:rsidR="00FA4F67" w:rsidRPr="00CF6E45">
        <w:rPr>
          <w:rFonts w:ascii="Georgia" w:hAnsi="Georgia"/>
          <w:sz w:val="22"/>
        </w:rPr>
        <w:t xml:space="preserve">itself, </w:t>
      </w:r>
      <w:r w:rsidRPr="00CF6E45">
        <w:rPr>
          <w:rFonts w:ascii="Georgia" w:hAnsi="Georgia"/>
          <w:sz w:val="22"/>
        </w:rPr>
        <w:t>the Secured Assets and the security being created. These statements are treated as being made on the date of signing and then repeated on the date of each Drawdown Request and each Drawdown Date (as defined in the underlying loan agreement) with reference to the facts and circumstances existing at the time of repetition.</w:t>
      </w:r>
    </w:p>
    <w:p w14:paraId="758D36FE"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lastRenderedPageBreak/>
        <w:t>If any representation or warranty proves untrue, this will constitute an Event of Default under the loan agreement, triggering the Lender's enforcement rights.</w:t>
      </w:r>
    </w:p>
    <w:p w14:paraId="4583A08A"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w:t>
      </w:r>
      <w:r w:rsidR="002068B0" w:rsidRPr="00CF6E45">
        <w:rPr>
          <w:rFonts w:ascii="Georgia" w:hAnsi="Georgia"/>
          <w:sz w:val="22"/>
          <w:u w:val="single"/>
        </w:rPr>
        <w:t>8</w:t>
      </w:r>
      <w:r w:rsidRPr="00CF6E45">
        <w:rPr>
          <w:rFonts w:ascii="Georgia" w:hAnsi="Georgia"/>
          <w:sz w:val="22"/>
          <w:u w:val="single"/>
        </w:rPr>
        <w:t xml:space="preserve">: </w:t>
      </w:r>
      <w:r w:rsidR="004D2EF3" w:rsidRPr="00CF6E45">
        <w:rPr>
          <w:rFonts w:ascii="Georgia" w:hAnsi="Georgia"/>
          <w:sz w:val="22"/>
          <w:u w:val="single"/>
        </w:rPr>
        <w:t>Undertakings</w:t>
      </w:r>
    </w:p>
    <w:p w14:paraId="65B2A81F"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xml:space="preserve">: During the Security Period, the </w:t>
      </w:r>
      <w:proofErr w:type="spellStart"/>
      <w:r w:rsidRPr="00CF6E45">
        <w:rPr>
          <w:rFonts w:ascii="Georgia" w:hAnsi="Georgia"/>
          <w:sz w:val="22"/>
        </w:rPr>
        <w:t>Chargor</w:t>
      </w:r>
      <w:proofErr w:type="spellEnd"/>
      <w:r w:rsidRPr="00CF6E45">
        <w:rPr>
          <w:rFonts w:ascii="Georgia" w:hAnsi="Georgia"/>
          <w:sz w:val="22"/>
        </w:rPr>
        <w:t xml:space="preserve"> agrees to comply with ongoing obligations (</w:t>
      </w:r>
      <w:r w:rsidR="004D2EF3" w:rsidRPr="00CF6E45">
        <w:rPr>
          <w:rFonts w:ascii="Georgia" w:hAnsi="Georgia"/>
          <w:b/>
          <w:bCs/>
          <w:sz w:val="22"/>
        </w:rPr>
        <w:t>Undertakings</w:t>
      </w:r>
      <w:r w:rsidRPr="00CF6E45">
        <w:rPr>
          <w:rFonts w:ascii="Georgia" w:hAnsi="Georgia"/>
          <w:sz w:val="22"/>
        </w:rPr>
        <w:t>) to help protect the value of the Lender’s security and the Secured Assets.</w:t>
      </w:r>
    </w:p>
    <w:p w14:paraId="21711829" w14:textId="14154917" w:rsidR="008D19E8" w:rsidRPr="00CF6E45" w:rsidRDefault="00C425A1" w:rsidP="007F48A5">
      <w:pPr>
        <w:pStyle w:val="Level3Number"/>
        <w:numPr>
          <w:ilvl w:val="0"/>
          <w:numId w:val="0"/>
        </w:numPr>
        <w:spacing w:line="276" w:lineRule="auto"/>
        <w:ind w:left="1728" w:hanging="1008"/>
        <w:rPr>
          <w:rFonts w:ascii="Georgia" w:hAnsi="Georgia"/>
          <w:b/>
          <w:sz w:val="22"/>
        </w:rPr>
      </w:pPr>
      <w:r w:rsidRPr="00CF6E45">
        <w:rPr>
          <w:rFonts w:ascii="Georgia" w:hAnsi="Georgia"/>
          <w:b/>
          <w:sz w:val="22"/>
        </w:rPr>
        <w:t xml:space="preserve">Action Required: </w:t>
      </w:r>
      <w:r w:rsidRPr="00CF6E45">
        <w:rPr>
          <w:rFonts w:ascii="Georgia" w:hAnsi="Georgia"/>
          <w:sz w:val="22"/>
        </w:rPr>
        <w:t xml:space="preserve">Review the </w:t>
      </w:r>
      <w:r w:rsidR="004D2EF3" w:rsidRPr="00CF6E45">
        <w:rPr>
          <w:rFonts w:ascii="Georgia" w:hAnsi="Georgia"/>
          <w:sz w:val="22"/>
        </w:rPr>
        <w:t xml:space="preserve">undertakings </w:t>
      </w:r>
      <w:r w:rsidRPr="00CF6E45">
        <w:rPr>
          <w:rFonts w:ascii="Georgia" w:hAnsi="Georgia"/>
          <w:sz w:val="22"/>
        </w:rPr>
        <w:t>to ensure they are appropriate for the project.</w:t>
      </w:r>
    </w:p>
    <w:p w14:paraId="0AB8ABDF"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 xml:space="preserve">Guidance </w:t>
      </w:r>
      <w:r w:rsidR="002068B0" w:rsidRPr="00CF6E45">
        <w:rPr>
          <w:rFonts w:ascii="Georgia" w:hAnsi="Georgia"/>
          <w:b/>
          <w:sz w:val="22"/>
        </w:rPr>
        <w:t>to</w:t>
      </w:r>
      <w:r w:rsidRPr="00CF6E45">
        <w:rPr>
          <w:rFonts w:ascii="Georgia" w:hAnsi="Georgia"/>
          <w:b/>
          <w:sz w:val="22"/>
        </w:rPr>
        <w:t xml:space="preserve"> CEG</w:t>
      </w:r>
      <w:r w:rsidRPr="00CF6E45">
        <w:rPr>
          <w:rFonts w:ascii="Georgia" w:hAnsi="Georgia"/>
          <w:sz w:val="22"/>
        </w:rPr>
        <w:t xml:space="preserve">: These </w:t>
      </w:r>
      <w:r w:rsidR="004D2EF3" w:rsidRPr="00CF6E45">
        <w:rPr>
          <w:rFonts w:ascii="Georgia" w:hAnsi="Georgia"/>
          <w:sz w:val="22"/>
        </w:rPr>
        <w:t xml:space="preserve">Undertakings </w:t>
      </w:r>
      <w:r w:rsidRPr="00CF6E45">
        <w:rPr>
          <w:rFonts w:ascii="Georgia" w:hAnsi="Georgia"/>
          <w:sz w:val="22"/>
        </w:rPr>
        <w:t xml:space="preserve">help to preserve the value of your security and the Secured Assets. The prohibition on creating other security ensures your first-ranking position is maintained (subject to any intercreditor agreement/deed of priority). If the </w:t>
      </w:r>
      <w:proofErr w:type="spellStart"/>
      <w:r w:rsidRPr="00CF6E45">
        <w:rPr>
          <w:rFonts w:ascii="Georgia" w:hAnsi="Georgia"/>
          <w:sz w:val="22"/>
        </w:rPr>
        <w:t>Chargor</w:t>
      </w:r>
      <w:proofErr w:type="spellEnd"/>
      <w:r w:rsidRPr="00CF6E45">
        <w:rPr>
          <w:rFonts w:ascii="Georgia" w:hAnsi="Georgia"/>
          <w:sz w:val="22"/>
        </w:rPr>
        <w:t xml:space="preserve"> breaches this and creates security, it triggers a default. The restriction on disposals prevents the </w:t>
      </w:r>
      <w:proofErr w:type="spellStart"/>
      <w:r w:rsidRPr="00CF6E45">
        <w:rPr>
          <w:rFonts w:ascii="Georgia" w:hAnsi="Georgia"/>
          <w:sz w:val="22"/>
        </w:rPr>
        <w:t>Chargor</w:t>
      </w:r>
      <w:proofErr w:type="spellEnd"/>
      <w:r w:rsidRPr="00CF6E45">
        <w:rPr>
          <w:rFonts w:ascii="Georgia" w:hAnsi="Georgia"/>
          <w:sz w:val="22"/>
        </w:rPr>
        <w:t xml:space="preserve"> from selling the shares and leaving </w:t>
      </w:r>
      <w:r w:rsidR="002068B0" w:rsidRPr="00CF6E45">
        <w:rPr>
          <w:rFonts w:ascii="Georgia" w:hAnsi="Georgia"/>
          <w:sz w:val="22"/>
        </w:rPr>
        <w:t>the CEG</w:t>
      </w:r>
      <w:r w:rsidRPr="00CF6E45">
        <w:rPr>
          <w:rFonts w:ascii="Georgia" w:hAnsi="Georgia"/>
          <w:sz w:val="22"/>
        </w:rPr>
        <w:t xml:space="preserve"> without security. </w:t>
      </w:r>
      <w:r w:rsidR="00D00162" w:rsidRPr="00CF6E45">
        <w:rPr>
          <w:rFonts w:ascii="Georgia" w:hAnsi="Georgia"/>
          <w:sz w:val="22"/>
        </w:rPr>
        <w:t xml:space="preserve">If you wish to agree to a transfer of some of the Shares to a third party this must be done in accordance with the provisions set out in clause </w:t>
      </w:r>
      <w:r w:rsidR="002068B0" w:rsidRPr="00CF6E45">
        <w:rPr>
          <w:rFonts w:ascii="Georgia" w:hAnsi="Georgia"/>
          <w:sz w:val="22"/>
        </w:rPr>
        <w:t>8.1.2</w:t>
      </w:r>
      <w:r w:rsidR="00D00162" w:rsidRPr="00CF6E45">
        <w:rPr>
          <w:rFonts w:ascii="Georgia" w:hAnsi="Georgia"/>
          <w:sz w:val="22"/>
        </w:rPr>
        <w:t xml:space="preserve">. Failure to follow these procedures will result in </w:t>
      </w:r>
      <w:r w:rsidR="007C6519" w:rsidRPr="00CF6E45">
        <w:rPr>
          <w:rFonts w:ascii="Georgia" w:hAnsi="Georgia"/>
          <w:sz w:val="22"/>
        </w:rPr>
        <w:t>the</w:t>
      </w:r>
      <w:r w:rsidR="00D00162" w:rsidRPr="00CF6E45">
        <w:rPr>
          <w:rFonts w:ascii="Georgia" w:hAnsi="Georgia"/>
          <w:sz w:val="22"/>
        </w:rPr>
        <w:t xml:space="preserve"> </w:t>
      </w:r>
      <w:r w:rsidR="007C6519" w:rsidRPr="00CF6E45">
        <w:rPr>
          <w:rFonts w:ascii="Georgia" w:hAnsi="Georgia"/>
          <w:sz w:val="22"/>
        </w:rPr>
        <w:t xml:space="preserve">relevant share security </w:t>
      </w:r>
      <w:r w:rsidR="00D00162" w:rsidRPr="00CF6E45">
        <w:rPr>
          <w:rFonts w:ascii="Georgia" w:hAnsi="Georgia"/>
          <w:sz w:val="22"/>
        </w:rPr>
        <w:t>being extinguished in res</w:t>
      </w:r>
      <w:r w:rsidR="007C6519" w:rsidRPr="00CF6E45">
        <w:rPr>
          <w:rFonts w:ascii="Georgia" w:hAnsi="Georgia"/>
          <w:sz w:val="22"/>
        </w:rPr>
        <w:t>p</w:t>
      </w:r>
      <w:r w:rsidR="00D00162" w:rsidRPr="00CF6E45">
        <w:rPr>
          <w:rFonts w:ascii="Georgia" w:hAnsi="Georgia"/>
          <w:sz w:val="22"/>
        </w:rPr>
        <w:t xml:space="preserve">ect of all </w:t>
      </w:r>
      <w:r w:rsidR="007C6519" w:rsidRPr="00CF6E45">
        <w:rPr>
          <w:rFonts w:ascii="Georgia" w:hAnsi="Georgia"/>
          <w:sz w:val="22"/>
        </w:rPr>
        <w:t xml:space="preserve">shares which it covers </w:t>
      </w:r>
      <w:r w:rsidR="00F8183E" w:rsidRPr="00CF6E45">
        <w:rPr>
          <w:rFonts w:ascii="Georgia" w:hAnsi="Georgia"/>
          <w:sz w:val="22"/>
        </w:rPr>
        <w:t>(</w:t>
      </w:r>
      <w:r w:rsidR="007C6519" w:rsidRPr="00CF6E45">
        <w:rPr>
          <w:rFonts w:ascii="Georgia" w:hAnsi="Georgia"/>
          <w:sz w:val="22"/>
        </w:rPr>
        <w:t xml:space="preserve">not just the shares transferred). </w:t>
      </w:r>
      <w:r w:rsidRPr="00CF6E45">
        <w:rPr>
          <w:rFonts w:ascii="Georgia" w:hAnsi="Georgia"/>
          <w:sz w:val="22"/>
        </w:rPr>
        <w:t>The requirement to provide information enables you to monitor compliance. The requirement to pay calls ensures the shares remain fully paid and are not forfeited.</w:t>
      </w:r>
    </w:p>
    <w:p w14:paraId="69A64EB8" w14:textId="77777777" w:rsidR="002068B0"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9: Registration of security</w:t>
      </w:r>
    </w:p>
    <w:p w14:paraId="2C26D857" w14:textId="77777777" w:rsidR="002068B0"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bCs/>
          <w:sz w:val="22"/>
        </w:rPr>
        <w:t xml:space="preserve">Purpose: </w:t>
      </w:r>
      <w:proofErr w:type="gramStart"/>
      <w:r w:rsidRPr="00CF6E45">
        <w:rPr>
          <w:rFonts w:ascii="Georgia" w:hAnsi="Georgia"/>
          <w:sz w:val="22"/>
        </w:rPr>
        <w:t>In order for</w:t>
      </w:r>
      <w:proofErr w:type="gramEnd"/>
      <w:r w:rsidRPr="00CF6E45">
        <w:rPr>
          <w:rFonts w:ascii="Georgia" w:hAnsi="Georgia"/>
          <w:sz w:val="22"/>
        </w:rPr>
        <w:t xml:space="preserve"> effective security to be created under the Share Pledge, it must be registered at Companies House and in the Register of Statutory Pledges and the Register of Assignations. The </w:t>
      </w:r>
      <w:proofErr w:type="spellStart"/>
      <w:r w:rsidRPr="00CF6E45">
        <w:rPr>
          <w:rFonts w:ascii="Georgia" w:hAnsi="Georgia"/>
          <w:sz w:val="22"/>
        </w:rPr>
        <w:t>Chargor</w:t>
      </w:r>
      <w:proofErr w:type="spellEnd"/>
      <w:r w:rsidRPr="00CF6E45">
        <w:rPr>
          <w:rFonts w:ascii="Georgia" w:hAnsi="Georgia"/>
          <w:sz w:val="22"/>
        </w:rPr>
        <w:t xml:space="preserve"> consents to this by this clause.</w:t>
      </w:r>
    </w:p>
    <w:p w14:paraId="69463FDE" w14:textId="77777777" w:rsidR="002068B0" w:rsidRPr="00CF6E45" w:rsidRDefault="00C425A1" w:rsidP="007F48A5">
      <w:pPr>
        <w:pStyle w:val="Level3Number"/>
        <w:numPr>
          <w:ilvl w:val="0"/>
          <w:numId w:val="0"/>
        </w:numPr>
        <w:spacing w:line="276" w:lineRule="auto"/>
        <w:ind w:left="720"/>
        <w:rPr>
          <w:rFonts w:ascii="Georgia" w:hAnsi="Georgia"/>
          <w:b/>
          <w:bCs/>
          <w:sz w:val="22"/>
        </w:rPr>
      </w:pPr>
      <w:r w:rsidRPr="00CF6E45">
        <w:rPr>
          <w:rFonts w:ascii="Georgia" w:hAnsi="Georgia"/>
          <w:b/>
          <w:bCs/>
          <w:sz w:val="22"/>
        </w:rPr>
        <w:t xml:space="preserve">Guidance to CEG: </w:t>
      </w:r>
      <w:r w:rsidRPr="00CF6E45">
        <w:rPr>
          <w:rFonts w:ascii="Georgia" w:hAnsi="Georgia"/>
          <w:sz w:val="22"/>
        </w:rPr>
        <w:t>Registrations will typically be completed (within the prescribed period in the case of registrations at Companies House) by advisors to the Lender, hence the reason for consent in this clause.</w:t>
      </w:r>
    </w:p>
    <w:p w14:paraId="470D25AD" w14:textId="77777777" w:rsidR="002068B0"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10: Deposit of certificates and transfer documentation</w:t>
      </w:r>
    </w:p>
    <w:p w14:paraId="5E6B4B9E" w14:textId="77777777" w:rsidR="002068B0" w:rsidRPr="00CF6E45" w:rsidRDefault="00C425A1" w:rsidP="007F48A5">
      <w:pPr>
        <w:pStyle w:val="BodyText3"/>
        <w:spacing w:line="276" w:lineRule="auto"/>
        <w:ind w:left="720"/>
        <w:rPr>
          <w:rFonts w:ascii="Georgia" w:hAnsi="Georgia"/>
          <w:sz w:val="22"/>
          <w:szCs w:val="22"/>
        </w:rPr>
      </w:pPr>
      <w:r w:rsidRPr="00CF6E45">
        <w:rPr>
          <w:rFonts w:ascii="Georgia" w:hAnsi="Georgia"/>
          <w:b/>
          <w:bCs/>
          <w:sz w:val="22"/>
          <w:szCs w:val="22"/>
        </w:rPr>
        <w:t xml:space="preserve">Purpose: </w:t>
      </w:r>
      <w:r w:rsidRPr="00CF6E45">
        <w:rPr>
          <w:rFonts w:ascii="Georgia" w:hAnsi="Georgia"/>
          <w:sz w:val="22"/>
          <w:szCs w:val="22"/>
        </w:rPr>
        <w:t xml:space="preserve">The requirement to deposit share certificates and stock transfer forms enables the CEG to complete transfers during enforcement. The obligation to amend articles of association ensures pre-emption rights and other transfer restrictions </w:t>
      </w:r>
      <w:r w:rsidR="00181E1F" w:rsidRPr="00CF6E45">
        <w:rPr>
          <w:rFonts w:ascii="Georgia" w:hAnsi="Georgia"/>
          <w:sz w:val="22"/>
          <w:szCs w:val="22"/>
        </w:rPr>
        <w:t>do not</w:t>
      </w:r>
      <w:r w:rsidRPr="00CF6E45">
        <w:rPr>
          <w:rFonts w:ascii="Georgia" w:hAnsi="Georgia"/>
          <w:sz w:val="22"/>
          <w:szCs w:val="22"/>
        </w:rPr>
        <w:t xml:space="preserve"> prevent enforcement.</w:t>
      </w:r>
    </w:p>
    <w:p w14:paraId="5540CA35"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w:t>
      </w:r>
      <w:r w:rsidR="002068B0" w:rsidRPr="00CF6E45">
        <w:rPr>
          <w:rFonts w:ascii="Georgia" w:hAnsi="Georgia"/>
          <w:sz w:val="22"/>
          <w:u w:val="single"/>
        </w:rPr>
        <w:t>11</w:t>
      </w:r>
      <w:r w:rsidRPr="00CF6E45">
        <w:rPr>
          <w:rFonts w:ascii="Georgia" w:hAnsi="Georgia"/>
          <w:sz w:val="22"/>
          <w:u w:val="single"/>
        </w:rPr>
        <w:t>: Voting Rights and Dividends</w:t>
      </w:r>
    </w:p>
    <w:p w14:paraId="319A3CFB"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This clause determines who can exercise voting rights and receive dividends in respect of the Shares before and after enforcement.</w:t>
      </w:r>
    </w:p>
    <w:p w14:paraId="0A645D8B" w14:textId="0E0EAE45" w:rsidR="008D19E8" w:rsidRPr="00CF6E45" w:rsidRDefault="00C425A1" w:rsidP="00156377">
      <w:pPr>
        <w:pStyle w:val="Level3Number"/>
        <w:numPr>
          <w:ilvl w:val="0"/>
          <w:numId w:val="0"/>
        </w:numPr>
        <w:spacing w:line="276" w:lineRule="auto"/>
        <w:ind w:left="720"/>
        <w:rPr>
          <w:rFonts w:ascii="Georgia" w:hAnsi="Georgia"/>
          <w:sz w:val="22"/>
        </w:rPr>
      </w:pPr>
      <w:r w:rsidRPr="00CF6E45">
        <w:rPr>
          <w:rFonts w:ascii="Georgia" w:hAnsi="Georgia"/>
          <w:b/>
          <w:bCs/>
          <w:sz w:val="22"/>
        </w:rPr>
        <w:t>Guidance to CEG</w:t>
      </w:r>
      <w:r w:rsidRPr="00CF6E45">
        <w:rPr>
          <w:rFonts w:ascii="Georgia" w:hAnsi="Georgia"/>
          <w:sz w:val="22"/>
        </w:rPr>
        <w:t>:</w:t>
      </w:r>
      <w:r w:rsidR="004B1AED" w:rsidRPr="00CF6E45">
        <w:rPr>
          <w:rFonts w:ascii="Georgia" w:hAnsi="Georgia"/>
          <w:sz w:val="22"/>
        </w:rPr>
        <w:t xml:space="preserve"> </w:t>
      </w:r>
      <w:r w:rsidRPr="00CF6E45">
        <w:rPr>
          <w:rFonts w:ascii="Georgia" w:hAnsi="Georgia"/>
          <w:sz w:val="22"/>
        </w:rPr>
        <w:t>Before enforcement</w:t>
      </w:r>
      <w:r w:rsidRPr="00CF6E45">
        <w:rPr>
          <w:rFonts w:ascii="Georgia" w:hAnsi="Georgia"/>
          <w:b/>
          <w:bCs/>
          <w:sz w:val="22"/>
        </w:rPr>
        <w:t xml:space="preserve">, </w:t>
      </w:r>
      <w:r w:rsidRPr="00CF6E45">
        <w:rPr>
          <w:rFonts w:ascii="Georgia" w:hAnsi="Georgia"/>
          <w:sz w:val="22"/>
        </w:rPr>
        <w:t xml:space="preserve">the </w:t>
      </w:r>
      <w:proofErr w:type="spellStart"/>
      <w:r w:rsidRPr="00CF6E45">
        <w:rPr>
          <w:rFonts w:ascii="Georgia" w:hAnsi="Georgia"/>
          <w:sz w:val="22"/>
        </w:rPr>
        <w:t>Chargor</w:t>
      </w:r>
      <w:proofErr w:type="spellEnd"/>
      <w:r w:rsidRPr="00CF6E45">
        <w:rPr>
          <w:rFonts w:ascii="Georgia" w:hAnsi="Georgia"/>
          <w:sz w:val="22"/>
        </w:rPr>
        <w:t xml:space="preserve"> may exercise voting and other rights and retain</w:t>
      </w:r>
      <w:r w:rsidR="00156377" w:rsidRPr="00CF6E45">
        <w:rPr>
          <w:rFonts w:ascii="Georgia" w:hAnsi="Georgia"/>
          <w:sz w:val="22"/>
        </w:rPr>
        <w:t xml:space="preserve"> </w:t>
      </w:r>
      <w:r w:rsidRPr="00CF6E45">
        <w:rPr>
          <w:rFonts w:ascii="Georgia" w:hAnsi="Georgia"/>
          <w:sz w:val="22"/>
        </w:rPr>
        <w:t>dividends, subject to two important conditions:</w:t>
      </w:r>
    </w:p>
    <w:p w14:paraId="4765480E" w14:textId="77777777" w:rsidR="008D19E8" w:rsidRPr="00CF6E45" w:rsidRDefault="00C425A1" w:rsidP="00156377">
      <w:pPr>
        <w:pStyle w:val="Level4Number"/>
        <w:numPr>
          <w:ilvl w:val="0"/>
          <w:numId w:val="29"/>
        </w:numPr>
        <w:spacing w:line="276" w:lineRule="auto"/>
        <w:rPr>
          <w:rFonts w:ascii="Georgia" w:hAnsi="Georgia"/>
          <w:sz w:val="22"/>
        </w:rPr>
      </w:pPr>
      <w:r w:rsidRPr="00CF6E45">
        <w:rPr>
          <w:rFonts w:ascii="Georgia" w:hAnsi="Georgia"/>
          <w:sz w:val="22"/>
        </w:rPr>
        <w:t xml:space="preserve">The </w:t>
      </w:r>
      <w:proofErr w:type="spellStart"/>
      <w:r w:rsidRPr="00CF6E45">
        <w:rPr>
          <w:rFonts w:ascii="Georgia" w:hAnsi="Georgia"/>
          <w:sz w:val="22"/>
        </w:rPr>
        <w:t>Chargor</w:t>
      </w:r>
      <w:proofErr w:type="spellEnd"/>
      <w:r w:rsidRPr="00CF6E45">
        <w:rPr>
          <w:rFonts w:ascii="Georgia" w:hAnsi="Georgia"/>
          <w:sz w:val="22"/>
        </w:rPr>
        <w:t xml:space="preserve"> must not do so in any way that would breach any provision of the Shareholder Loan Agreement, the Shareholders’ Agreement, the Revenue Sharing (if applicable) or </w:t>
      </w:r>
      <w:r w:rsidR="004D2EF3" w:rsidRPr="00CF6E45">
        <w:rPr>
          <w:rFonts w:ascii="Georgia" w:hAnsi="Georgia"/>
          <w:sz w:val="22"/>
        </w:rPr>
        <w:t>the Share Pledge</w:t>
      </w:r>
      <w:r w:rsidRPr="00CF6E45">
        <w:rPr>
          <w:rFonts w:ascii="Georgia" w:hAnsi="Georgia"/>
          <w:sz w:val="22"/>
        </w:rPr>
        <w:t>, or for any purpose inconsistent with those documents; and</w:t>
      </w:r>
    </w:p>
    <w:p w14:paraId="138A2186" w14:textId="77777777" w:rsidR="008D19E8" w:rsidRPr="00CF6E45" w:rsidRDefault="00C425A1" w:rsidP="00156377">
      <w:pPr>
        <w:pStyle w:val="Level4Number"/>
        <w:numPr>
          <w:ilvl w:val="0"/>
          <w:numId w:val="29"/>
        </w:numPr>
        <w:spacing w:line="276" w:lineRule="auto"/>
        <w:rPr>
          <w:rFonts w:ascii="Georgia" w:hAnsi="Georgia"/>
          <w:sz w:val="22"/>
        </w:rPr>
      </w:pPr>
      <w:r w:rsidRPr="00CF6E45">
        <w:rPr>
          <w:rFonts w:ascii="Georgia" w:hAnsi="Georgia"/>
          <w:sz w:val="22"/>
        </w:rPr>
        <w:lastRenderedPageBreak/>
        <w:t>The exercise or failure to exercise those rights must not, in the Lender's opinion, have an adverse effect on the value of the Secured Assets or otherwise prejudice the Lender's security.</w:t>
      </w:r>
    </w:p>
    <w:p w14:paraId="3534BC64" w14:textId="77777777" w:rsidR="00EC2583" w:rsidRPr="00CF6E45" w:rsidRDefault="00C425A1" w:rsidP="007F48A5">
      <w:pPr>
        <w:pStyle w:val="Level3Number"/>
        <w:numPr>
          <w:ilvl w:val="0"/>
          <w:numId w:val="0"/>
        </w:numPr>
        <w:spacing w:line="276" w:lineRule="auto"/>
        <w:ind w:left="720"/>
        <w:rPr>
          <w:rFonts w:ascii="Georgia" w:hAnsi="Georgia"/>
          <w:sz w:val="22"/>
        </w:rPr>
      </w:pPr>
      <w:bookmarkStart w:id="11" w:name="_Ref227084123"/>
      <w:r w:rsidRPr="00CF6E45">
        <w:rPr>
          <w:rFonts w:ascii="Georgia" w:hAnsi="Georgia"/>
          <w:sz w:val="22"/>
        </w:rPr>
        <w:t xml:space="preserve">After enforcement, the Lender effectively </w:t>
      </w:r>
      <w:r w:rsidR="007C6519" w:rsidRPr="00CF6E45">
        <w:rPr>
          <w:rFonts w:ascii="Georgia" w:hAnsi="Georgia"/>
          <w:sz w:val="22"/>
        </w:rPr>
        <w:t xml:space="preserve">can take </w:t>
      </w:r>
      <w:r w:rsidRPr="00CF6E45">
        <w:rPr>
          <w:rFonts w:ascii="Georgia" w:hAnsi="Georgia"/>
          <w:sz w:val="22"/>
        </w:rPr>
        <w:t>full control over the Secured Assets with respect to voting and dividends.</w:t>
      </w:r>
      <w:bookmarkEnd w:id="11"/>
      <w:r w:rsidRPr="00CF6E45">
        <w:rPr>
          <w:rFonts w:ascii="Georgia" w:hAnsi="Georgia"/>
          <w:sz w:val="22"/>
        </w:rPr>
        <w:t xml:space="preserve"> </w:t>
      </w:r>
    </w:p>
    <w:p w14:paraId="432C1056" w14:textId="0F37C24F" w:rsidR="008D19E8" w:rsidRPr="00CF6E45" w:rsidRDefault="007C6519" w:rsidP="007F48A5">
      <w:pPr>
        <w:pStyle w:val="Level3Number"/>
        <w:numPr>
          <w:ilvl w:val="0"/>
          <w:numId w:val="0"/>
        </w:numPr>
        <w:spacing w:line="276" w:lineRule="auto"/>
        <w:ind w:left="720"/>
        <w:rPr>
          <w:rFonts w:ascii="Georgia" w:hAnsi="Georgia"/>
          <w:sz w:val="22"/>
        </w:rPr>
      </w:pPr>
      <w:r w:rsidRPr="00CF6E45">
        <w:rPr>
          <w:rFonts w:ascii="Georgia" w:hAnsi="Georgia"/>
          <w:sz w:val="22"/>
        </w:rPr>
        <w:t>Taking control of the voting rights can have serious implications under company law (relating to persons with significant control) and national security legislation. Legal advice should be sought before commencing any enforcement action and taking control of the voting rights.</w:t>
      </w:r>
    </w:p>
    <w:p w14:paraId="0C7B7C13"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w:t>
      </w:r>
      <w:r w:rsidR="002068B0" w:rsidRPr="00CF6E45">
        <w:rPr>
          <w:rFonts w:ascii="Georgia" w:hAnsi="Georgia"/>
          <w:sz w:val="22"/>
          <w:u w:val="single"/>
        </w:rPr>
        <w:t>12</w:t>
      </w:r>
      <w:r w:rsidRPr="00CF6E45">
        <w:rPr>
          <w:rFonts w:ascii="Georgia" w:hAnsi="Georgia"/>
          <w:sz w:val="22"/>
          <w:u w:val="single"/>
        </w:rPr>
        <w:t xml:space="preserve">: Powers of the Lender  </w:t>
      </w:r>
    </w:p>
    <w:p w14:paraId="7853ADA8"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This clause sets out the powers the Lender may exercise in relation to the Secured Assets both during the Security Period and during enforcement.</w:t>
      </w:r>
    </w:p>
    <w:p w14:paraId="3D39EE2F"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For example, the Lender is entitled (but not obliged) to remedy any breach by the </w:t>
      </w:r>
      <w:proofErr w:type="spellStart"/>
      <w:r w:rsidRPr="00CF6E45">
        <w:rPr>
          <w:rFonts w:ascii="Georgia" w:hAnsi="Georgia"/>
          <w:sz w:val="22"/>
        </w:rPr>
        <w:t>Chargor</w:t>
      </w:r>
      <w:proofErr w:type="spellEnd"/>
      <w:r w:rsidRPr="00CF6E45">
        <w:rPr>
          <w:rFonts w:ascii="Georgia" w:hAnsi="Georgia"/>
          <w:sz w:val="22"/>
        </w:rPr>
        <w:t xml:space="preserve"> of its obligations. The </w:t>
      </w:r>
      <w:proofErr w:type="spellStart"/>
      <w:r w:rsidRPr="00CF6E45">
        <w:rPr>
          <w:rFonts w:ascii="Georgia" w:hAnsi="Georgia"/>
          <w:sz w:val="22"/>
        </w:rPr>
        <w:t>Chargor</w:t>
      </w:r>
      <w:proofErr w:type="spellEnd"/>
      <w:r w:rsidRPr="00CF6E45">
        <w:rPr>
          <w:rFonts w:ascii="Georgia" w:hAnsi="Georgia"/>
          <w:sz w:val="22"/>
        </w:rPr>
        <w:t xml:space="preserve"> irrevocably authorises the Lender to do all things necessary for this purpose and the </w:t>
      </w:r>
      <w:proofErr w:type="spellStart"/>
      <w:r w:rsidRPr="00CF6E45">
        <w:rPr>
          <w:rFonts w:ascii="Georgia" w:hAnsi="Georgia"/>
          <w:sz w:val="22"/>
        </w:rPr>
        <w:t>Chargor</w:t>
      </w:r>
      <w:proofErr w:type="spellEnd"/>
      <w:r w:rsidRPr="00CF6E45">
        <w:rPr>
          <w:rFonts w:ascii="Georgia" w:hAnsi="Georgia"/>
          <w:sz w:val="22"/>
        </w:rPr>
        <w:t xml:space="preserve"> must reimburse the Lender on a full indemnity basis if the Lender exercises this right. </w:t>
      </w:r>
    </w:p>
    <w:p w14:paraId="72734721"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1</w:t>
      </w:r>
      <w:r w:rsidR="002068B0" w:rsidRPr="00CF6E45">
        <w:rPr>
          <w:rFonts w:ascii="Georgia" w:hAnsi="Georgia"/>
          <w:sz w:val="22"/>
          <w:u w:val="single"/>
        </w:rPr>
        <w:t>3</w:t>
      </w:r>
      <w:r w:rsidRPr="00CF6E45">
        <w:rPr>
          <w:rFonts w:ascii="Georgia" w:hAnsi="Georgia"/>
          <w:sz w:val="22"/>
          <w:u w:val="single"/>
        </w:rPr>
        <w:t xml:space="preserve">: When Security Becomes Enforceable   </w:t>
      </w:r>
    </w:p>
    <w:p w14:paraId="4B7CB6D2"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This clause specifies when the security becomes enforceable and what discretion the Lender has once enforceable.</w:t>
      </w:r>
    </w:p>
    <w:p w14:paraId="0A7E7D9E"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The security becomes immediately enforceable if an Event of Default occurs and is continuing</w:t>
      </w:r>
      <w:r w:rsidR="00181E1F" w:rsidRPr="00CF6E45">
        <w:rPr>
          <w:rFonts w:ascii="Georgia" w:hAnsi="Georgia"/>
          <w:sz w:val="22"/>
        </w:rPr>
        <w:t xml:space="preserve"> </w:t>
      </w:r>
      <w:proofErr w:type="spellStart"/>
      <w:r w:rsidR="00181E1F" w:rsidRPr="00CF6E45">
        <w:rPr>
          <w:rFonts w:ascii="Georgia" w:hAnsi="Georgia"/>
          <w:sz w:val="22"/>
        </w:rPr>
        <w:t>unwaived</w:t>
      </w:r>
      <w:proofErr w:type="spellEnd"/>
      <w:r w:rsidRPr="00CF6E45">
        <w:rPr>
          <w:rFonts w:ascii="Georgia" w:hAnsi="Georgia"/>
          <w:sz w:val="22"/>
        </w:rPr>
        <w:t xml:space="preserve">. Common examples include non-payment, breach of </w:t>
      </w:r>
      <w:r w:rsidR="002068B0" w:rsidRPr="00CF6E45">
        <w:rPr>
          <w:rFonts w:ascii="Georgia" w:hAnsi="Georgia"/>
          <w:sz w:val="22"/>
        </w:rPr>
        <w:t xml:space="preserve">covenants / </w:t>
      </w:r>
      <w:r w:rsidR="00A073DD" w:rsidRPr="00CF6E45">
        <w:rPr>
          <w:rFonts w:ascii="Georgia" w:hAnsi="Georgia"/>
          <w:sz w:val="22"/>
        </w:rPr>
        <w:t>undertakings</w:t>
      </w:r>
      <w:r w:rsidRPr="00CF6E45">
        <w:rPr>
          <w:rFonts w:ascii="Georgia" w:hAnsi="Georgia"/>
          <w:sz w:val="22"/>
        </w:rPr>
        <w:t xml:space="preserve">, insolvency of the </w:t>
      </w:r>
      <w:proofErr w:type="spellStart"/>
      <w:r w:rsidRPr="00CF6E45">
        <w:rPr>
          <w:rFonts w:ascii="Georgia" w:hAnsi="Georgia"/>
          <w:sz w:val="22"/>
        </w:rPr>
        <w:t>Chargor</w:t>
      </w:r>
      <w:proofErr w:type="spellEnd"/>
      <w:r w:rsidRPr="00CF6E45">
        <w:rPr>
          <w:rFonts w:ascii="Georgia" w:hAnsi="Georgia"/>
          <w:sz w:val="22"/>
        </w:rPr>
        <w:t>, and material adverse change.</w:t>
      </w:r>
    </w:p>
    <w:p w14:paraId="31A5DC62" w14:textId="57F51E0F"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Guidance to CEG</w:t>
      </w:r>
      <w:r w:rsidRPr="00CF6E45">
        <w:rPr>
          <w:rFonts w:ascii="Georgia" w:hAnsi="Georgia"/>
          <w:sz w:val="22"/>
        </w:rPr>
        <w:t>: Enforcement is a serious step that should only be taken after careful consideration and legal advice.</w:t>
      </w:r>
      <w:r w:rsidR="004D2EF3" w:rsidRPr="00CF6E45">
        <w:rPr>
          <w:rFonts w:ascii="Georgia" w:hAnsi="Georgia"/>
          <w:sz w:val="22"/>
        </w:rPr>
        <w:t xml:space="preserve"> Statutory procedures must be followed when enforcing the Share Pledge</w:t>
      </w:r>
      <w:r w:rsidR="002068B0" w:rsidRPr="00CF6E45">
        <w:rPr>
          <w:rFonts w:ascii="Georgia" w:hAnsi="Georgia"/>
          <w:sz w:val="22"/>
        </w:rPr>
        <w:t xml:space="preserve"> (and further guidance on this is set out in paragraph </w:t>
      </w:r>
      <w:r w:rsidR="003A09E1" w:rsidRPr="00CF6E45">
        <w:rPr>
          <w:rFonts w:ascii="Georgia" w:hAnsi="Georgia"/>
          <w:sz w:val="22"/>
        </w:rPr>
        <w:fldChar w:fldCharType="begin"/>
      </w:r>
      <w:r w:rsidR="003A09E1" w:rsidRPr="00CF6E45">
        <w:rPr>
          <w:rFonts w:ascii="Georgia" w:hAnsi="Georgia"/>
          <w:sz w:val="22"/>
        </w:rPr>
        <w:instrText xml:space="preserve"> REF _Ref227085118 \r \h </w:instrText>
      </w:r>
      <w:r w:rsidR="004B1AED" w:rsidRPr="00CF6E45">
        <w:rPr>
          <w:rFonts w:ascii="Georgia" w:hAnsi="Georgia"/>
          <w:sz w:val="22"/>
        </w:rPr>
        <w:instrText xml:space="preserve"> \* MERGEFORMAT </w:instrText>
      </w:r>
      <w:r w:rsidR="003A09E1" w:rsidRPr="00CF6E45">
        <w:rPr>
          <w:rFonts w:ascii="Georgia" w:hAnsi="Georgia"/>
          <w:sz w:val="22"/>
        </w:rPr>
      </w:r>
      <w:r w:rsidR="003A09E1" w:rsidRPr="00CF6E45">
        <w:rPr>
          <w:rFonts w:ascii="Georgia" w:hAnsi="Georgia"/>
          <w:sz w:val="22"/>
        </w:rPr>
        <w:fldChar w:fldCharType="separate"/>
      </w:r>
      <w:r w:rsidR="00390251" w:rsidRPr="00CF6E45">
        <w:rPr>
          <w:rFonts w:ascii="Georgia" w:hAnsi="Georgia"/>
          <w:sz w:val="22"/>
        </w:rPr>
        <w:t>3.16</w:t>
      </w:r>
      <w:r w:rsidR="003A09E1" w:rsidRPr="00CF6E45">
        <w:rPr>
          <w:rFonts w:ascii="Georgia" w:hAnsi="Georgia"/>
          <w:sz w:val="22"/>
        </w:rPr>
        <w:fldChar w:fldCharType="end"/>
      </w:r>
      <w:r w:rsidR="003A09E1" w:rsidRPr="00CF6E45">
        <w:rPr>
          <w:rFonts w:ascii="Georgia" w:hAnsi="Georgia"/>
          <w:sz w:val="22"/>
        </w:rPr>
        <w:t xml:space="preserve"> below</w:t>
      </w:r>
      <w:proofErr w:type="gramStart"/>
      <w:r w:rsidR="003A09E1" w:rsidRPr="00CF6E45">
        <w:rPr>
          <w:rFonts w:ascii="Georgia" w:hAnsi="Georgia"/>
          <w:sz w:val="22"/>
        </w:rPr>
        <w:t>)</w:t>
      </w:r>
      <w:r w:rsidR="002068B0" w:rsidRPr="00CF6E45">
        <w:rPr>
          <w:rFonts w:ascii="Georgia" w:hAnsi="Georgia"/>
          <w:sz w:val="22"/>
        </w:rPr>
        <w:t xml:space="preserve"> </w:t>
      </w:r>
      <w:r w:rsidR="004D2EF3" w:rsidRPr="00CF6E45">
        <w:rPr>
          <w:rFonts w:ascii="Georgia" w:hAnsi="Georgia"/>
          <w:sz w:val="22"/>
        </w:rPr>
        <w:t>.</w:t>
      </w:r>
      <w:proofErr w:type="gramEnd"/>
      <w:r w:rsidRPr="00CF6E45">
        <w:rPr>
          <w:rFonts w:ascii="Georgia" w:hAnsi="Georgia"/>
          <w:sz w:val="22"/>
        </w:rPr>
        <w:t xml:space="preserve"> If there is any third-party senior debt with an intercreditor agreement in place, you may need the senior lender's consent before taking any enforcement action.</w:t>
      </w:r>
    </w:p>
    <w:p w14:paraId="4304681A"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1</w:t>
      </w:r>
      <w:r w:rsidR="003A09E1" w:rsidRPr="00CF6E45">
        <w:rPr>
          <w:rFonts w:ascii="Georgia" w:hAnsi="Georgia"/>
          <w:sz w:val="22"/>
          <w:u w:val="single"/>
        </w:rPr>
        <w:t>4</w:t>
      </w:r>
      <w:r w:rsidRPr="00CF6E45">
        <w:rPr>
          <w:rFonts w:ascii="Georgia" w:hAnsi="Georgia"/>
          <w:sz w:val="22"/>
          <w:u w:val="single"/>
        </w:rPr>
        <w:t xml:space="preserve">: Enforcement of Security </w:t>
      </w:r>
    </w:p>
    <w:p w14:paraId="1B1A98BF"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Once the security becomes enforceable (see clause 1</w:t>
      </w:r>
      <w:r w:rsidR="003A09E1" w:rsidRPr="00CF6E45">
        <w:rPr>
          <w:rFonts w:ascii="Georgia" w:hAnsi="Georgia"/>
          <w:sz w:val="22"/>
        </w:rPr>
        <w:t>3</w:t>
      </w:r>
      <w:r w:rsidRPr="00CF6E45">
        <w:rPr>
          <w:rFonts w:ascii="Georgia" w:hAnsi="Georgia"/>
          <w:sz w:val="22"/>
        </w:rPr>
        <w:t xml:space="preserve">), this clause sets out how the Lender can enforce it. </w:t>
      </w:r>
    </w:p>
    <w:p w14:paraId="66628F0E" w14:textId="77777777" w:rsidR="003A09E1"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A statutory form of Pledge Enforcement Notice must be served before the Lender can enforce the Share Pledge. On enforcement, the Lender has the right either:</w:t>
      </w:r>
    </w:p>
    <w:p w14:paraId="6E170AB6" w14:textId="77777777" w:rsidR="003A09E1" w:rsidRPr="00CF6E45" w:rsidRDefault="00C425A1" w:rsidP="007F48A5">
      <w:pPr>
        <w:pStyle w:val="Level4Number"/>
        <w:numPr>
          <w:ilvl w:val="0"/>
          <w:numId w:val="25"/>
        </w:numPr>
        <w:spacing w:line="276" w:lineRule="auto"/>
        <w:rPr>
          <w:rFonts w:ascii="Georgia" w:hAnsi="Georgia"/>
          <w:sz w:val="22"/>
        </w:rPr>
      </w:pPr>
      <w:r w:rsidRPr="00CF6E45">
        <w:rPr>
          <w:rFonts w:ascii="Georgia" w:hAnsi="Georgia"/>
          <w:sz w:val="22"/>
        </w:rPr>
        <w:t>T</w:t>
      </w:r>
      <w:r w:rsidR="00A5179E" w:rsidRPr="00CF6E45">
        <w:rPr>
          <w:rFonts w:ascii="Georgia" w:hAnsi="Georgia"/>
          <w:sz w:val="22"/>
        </w:rPr>
        <w:t>o sell the shares to a third party or to itself</w:t>
      </w:r>
      <w:r w:rsidRPr="00CF6E45">
        <w:rPr>
          <w:rFonts w:ascii="Georgia" w:hAnsi="Georgia"/>
          <w:sz w:val="22"/>
        </w:rPr>
        <w:t>;</w:t>
      </w:r>
      <w:r w:rsidR="00A5179E" w:rsidRPr="00CF6E45">
        <w:rPr>
          <w:rFonts w:ascii="Georgia" w:hAnsi="Georgia"/>
          <w:sz w:val="22"/>
        </w:rPr>
        <w:t xml:space="preserve"> or </w:t>
      </w:r>
    </w:p>
    <w:p w14:paraId="0502E746" w14:textId="77777777" w:rsidR="003A09E1" w:rsidRPr="00CF6E45" w:rsidRDefault="00C425A1" w:rsidP="007F48A5">
      <w:pPr>
        <w:pStyle w:val="Level4Number"/>
        <w:numPr>
          <w:ilvl w:val="0"/>
          <w:numId w:val="25"/>
        </w:numPr>
        <w:spacing w:line="276" w:lineRule="auto"/>
        <w:rPr>
          <w:rFonts w:ascii="Georgia" w:hAnsi="Georgia"/>
          <w:sz w:val="22"/>
        </w:rPr>
      </w:pPr>
      <w:r w:rsidRPr="00CF6E45">
        <w:rPr>
          <w:rFonts w:ascii="Georgia" w:hAnsi="Georgia"/>
          <w:sz w:val="22"/>
        </w:rPr>
        <w:t>T</w:t>
      </w:r>
      <w:r w:rsidR="00A5179E" w:rsidRPr="00CF6E45">
        <w:rPr>
          <w:rFonts w:ascii="Georgia" w:hAnsi="Georgia"/>
          <w:sz w:val="22"/>
        </w:rPr>
        <w:t xml:space="preserve">o appropriate the shares. </w:t>
      </w:r>
    </w:p>
    <w:p w14:paraId="5B6F2558" w14:textId="77777777" w:rsidR="00A5179E"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Enforcement by sale requires the Lender to take all reasonable steps to ensure that the price obtained is the best reasonably obtainable. Enforcement by appropriation can be with or </w:t>
      </w:r>
      <w:r w:rsidRPr="00CF6E45">
        <w:rPr>
          <w:rFonts w:ascii="Georgia" w:hAnsi="Georgia"/>
          <w:sz w:val="22"/>
        </w:rPr>
        <w:lastRenderedPageBreak/>
        <w:t xml:space="preserve">without the prior agreement of the </w:t>
      </w:r>
      <w:proofErr w:type="spellStart"/>
      <w:r w:rsidRPr="00CF6E45">
        <w:rPr>
          <w:rFonts w:ascii="Georgia" w:hAnsi="Georgia"/>
          <w:sz w:val="22"/>
        </w:rPr>
        <w:t>Chargor</w:t>
      </w:r>
      <w:proofErr w:type="spellEnd"/>
      <w:r w:rsidRPr="00CF6E45">
        <w:rPr>
          <w:rFonts w:ascii="Georgia" w:hAnsi="Georgia"/>
          <w:sz w:val="22"/>
        </w:rPr>
        <w:t xml:space="preserve"> (clause </w:t>
      </w:r>
      <w:r w:rsidR="003A09E1" w:rsidRPr="00CF6E45">
        <w:rPr>
          <w:rFonts w:ascii="Georgia" w:hAnsi="Georgia"/>
          <w:sz w:val="22"/>
        </w:rPr>
        <w:t>14.7.7</w:t>
      </w:r>
      <w:r w:rsidRPr="00CF6E45">
        <w:rPr>
          <w:rFonts w:ascii="Georgia" w:hAnsi="Georgia"/>
          <w:sz w:val="22"/>
        </w:rPr>
        <w:t xml:space="preserve"> includes the </w:t>
      </w:r>
      <w:proofErr w:type="spellStart"/>
      <w:r w:rsidRPr="00CF6E45">
        <w:rPr>
          <w:rFonts w:ascii="Georgia" w:hAnsi="Georgia"/>
          <w:sz w:val="22"/>
        </w:rPr>
        <w:t>Chargor’s</w:t>
      </w:r>
      <w:proofErr w:type="spellEnd"/>
      <w:r w:rsidRPr="00CF6E45">
        <w:rPr>
          <w:rFonts w:ascii="Georgia" w:hAnsi="Georgia"/>
          <w:sz w:val="22"/>
        </w:rPr>
        <w:t xml:space="preserve"> agreement to appropriate</w:t>
      </w:r>
      <w:r w:rsidR="00EC3806" w:rsidRPr="00CF6E45">
        <w:rPr>
          <w:rFonts w:ascii="Georgia" w:hAnsi="Georgia"/>
          <w:sz w:val="22"/>
        </w:rPr>
        <w:t xml:space="preserve">). Where a </w:t>
      </w:r>
      <w:proofErr w:type="spellStart"/>
      <w:r w:rsidR="003A09E1" w:rsidRPr="00CF6E45">
        <w:rPr>
          <w:rFonts w:ascii="Georgia" w:hAnsi="Georgia"/>
          <w:sz w:val="22"/>
        </w:rPr>
        <w:t>C</w:t>
      </w:r>
      <w:r w:rsidR="00EC3806" w:rsidRPr="00CF6E45">
        <w:rPr>
          <w:rFonts w:ascii="Georgia" w:hAnsi="Georgia"/>
          <w:sz w:val="22"/>
        </w:rPr>
        <w:t>hargor</w:t>
      </w:r>
      <w:proofErr w:type="spellEnd"/>
      <w:r w:rsidR="00EC3806" w:rsidRPr="00CF6E45">
        <w:rPr>
          <w:rFonts w:ascii="Georgia" w:hAnsi="Georgia"/>
          <w:sz w:val="22"/>
        </w:rPr>
        <w:t xml:space="preserve"> agrees in advance to appropriation, the agreement must also </w:t>
      </w:r>
      <w:r w:rsidRPr="00CF6E45">
        <w:rPr>
          <w:rFonts w:ascii="Georgia" w:hAnsi="Georgia"/>
          <w:sz w:val="22"/>
        </w:rPr>
        <w:t>set out the method for determining a reasonable market price</w:t>
      </w:r>
      <w:r w:rsidR="00EC3806" w:rsidRPr="00CF6E45">
        <w:rPr>
          <w:rFonts w:ascii="Georgia" w:hAnsi="Georgia"/>
          <w:sz w:val="22"/>
        </w:rPr>
        <w:t xml:space="preserve"> (see clause </w:t>
      </w:r>
      <w:r w:rsidR="003A09E1" w:rsidRPr="00CF6E45">
        <w:rPr>
          <w:rFonts w:ascii="Georgia" w:hAnsi="Georgia"/>
          <w:sz w:val="22"/>
        </w:rPr>
        <w:t>14.7.1</w:t>
      </w:r>
      <w:r w:rsidR="00EC3806" w:rsidRPr="00CF6E45">
        <w:rPr>
          <w:rFonts w:ascii="Georgia" w:hAnsi="Georgia"/>
          <w:sz w:val="22"/>
        </w:rPr>
        <w:t>)</w:t>
      </w:r>
      <w:r w:rsidRPr="00CF6E45">
        <w:rPr>
          <w:rFonts w:ascii="Georgia" w:hAnsi="Georgia"/>
          <w:sz w:val="22"/>
        </w:rPr>
        <w:t xml:space="preserve">). </w:t>
      </w:r>
    </w:p>
    <w:p w14:paraId="51F894A8" w14:textId="77777777" w:rsidR="00EC3806" w:rsidRPr="00CF6E45" w:rsidRDefault="00C425A1" w:rsidP="007F48A5">
      <w:pPr>
        <w:pStyle w:val="Level3Number"/>
        <w:numPr>
          <w:ilvl w:val="0"/>
          <w:numId w:val="0"/>
        </w:numPr>
        <w:spacing w:line="276" w:lineRule="auto"/>
        <w:ind w:left="720"/>
        <w:rPr>
          <w:rFonts w:ascii="Georgia" w:hAnsi="Georgia"/>
          <w:color w:val="auto"/>
          <w:sz w:val="22"/>
        </w:rPr>
      </w:pPr>
      <w:r w:rsidRPr="00CF6E45">
        <w:rPr>
          <w:rFonts w:ascii="Georgia" w:hAnsi="Georgia"/>
          <w:sz w:val="22"/>
        </w:rPr>
        <w:t>Where the value of the Shares exceeds the Secured Obligations and any expenses incurred by the Lender in enforcing the Share Pledge, the amount of the excess must be held in trust by the Lender until applied in the manner set out by law (see Clause 15: Application of Proceeds below).</w:t>
      </w:r>
    </w:p>
    <w:p w14:paraId="486BDC41"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Guidance to CEG</w:t>
      </w:r>
      <w:r w:rsidRPr="00CF6E45">
        <w:rPr>
          <w:rFonts w:ascii="Georgia" w:hAnsi="Georgia"/>
          <w:sz w:val="22"/>
        </w:rPr>
        <w:t xml:space="preserve">: In practice, enforcement typically involves selling the shares. If there is any third-party senior debt with an intercreditor agreement in place, check whether the senior lender's consent </w:t>
      </w:r>
      <w:r w:rsidR="00181E1F" w:rsidRPr="00CF6E45">
        <w:rPr>
          <w:rFonts w:ascii="Georgia" w:hAnsi="Georgia"/>
          <w:sz w:val="22"/>
        </w:rPr>
        <w:t xml:space="preserve">is required </w:t>
      </w:r>
      <w:r w:rsidRPr="00CF6E45">
        <w:rPr>
          <w:rFonts w:ascii="Georgia" w:hAnsi="Georgia"/>
          <w:sz w:val="22"/>
        </w:rPr>
        <w:t>before taking any enforcement action.</w:t>
      </w:r>
    </w:p>
    <w:p w14:paraId="6CED80AD" w14:textId="77777777" w:rsidR="008D19E8" w:rsidRPr="00CF6E45" w:rsidRDefault="00C425A1" w:rsidP="007F48A5">
      <w:pPr>
        <w:pStyle w:val="Level2Heading"/>
        <w:spacing w:line="276" w:lineRule="auto"/>
        <w:rPr>
          <w:rFonts w:ascii="Georgia" w:hAnsi="Georgia"/>
          <w:sz w:val="22"/>
          <w:u w:val="single"/>
        </w:rPr>
      </w:pPr>
      <w:bookmarkStart w:id="12" w:name="_Ref227085118"/>
      <w:r w:rsidRPr="00CF6E45">
        <w:rPr>
          <w:rFonts w:ascii="Georgia" w:hAnsi="Georgia"/>
          <w:sz w:val="22"/>
          <w:u w:val="single"/>
        </w:rPr>
        <w:t>Clause 15: Application of Proceeds</w:t>
      </w:r>
      <w:bookmarkEnd w:id="12"/>
    </w:p>
    <w:p w14:paraId="6E6E6F98"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This clause sets out the order in which money received from enforcement must be applied.</w:t>
      </w:r>
      <w:r w:rsidR="008259CA" w:rsidRPr="00CF6E45">
        <w:rPr>
          <w:rFonts w:ascii="Georgia" w:hAnsi="Georgia"/>
          <w:sz w:val="22"/>
        </w:rPr>
        <w:t xml:space="preserve"> </w:t>
      </w:r>
      <w:r w:rsidR="00A5179E" w:rsidRPr="00CF6E45">
        <w:rPr>
          <w:rFonts w:ascii="Georgia" w:hAnsi="Georgia"/>
          <w:sz w:val="22"/>
        </w:rPr>
        <w:t>It reflects the order of application required by law.</w:t>
      </w:r>
    </w:p>
    <w:p w14:paraId="1DBC1913" w14:textId="77777777" w:rsidR="00A5179E" w:rsidRPr="00CF6E45" w:rsidRDefault="00C425A1" w:rsidP="007F48A5">
      <w:pPr>
        <w:pStyle w:val="Level3Number"/>
        <w:numPr>
          <w:ilvl w:val="0"/>
          <w:numId w:val="0"/>
        </w:numPr>
        <w:spacing w:line="276" w:lineRule="auto"/>
        <w:ind w:firstLine="720"/>
        <w:rPr>
          <w:rFonts w:ascii="Georgia" w:hAnsi="Georgia"/>
          <w:sz w:val="22"/>
        </w:rPr>
      </w:pPr>
      <w:r w:rsidRPr="00CF6E45">
        <w:rPr>
          <w:rFonts w:ascii="Georgia" w:hAnsi="Georgia"/>
          <w:sz w:val="22"/>
        </w:rPr>
        <w:t>Proceeds from the enforcement of the Share Pledge must be applied:</w:t>
      </w:r>
    </w:p>
    <w:p w14:paraId="541AB54F" w14:textId="77777777" w:rsidR="00A5179E" w:rsidRPr="00CF6E45" w:rsidRDefault="00C425A1" w:rsidP="007F48A5">
      <w:pPr>
        <w:pStyle w:val="Level4Number"/>
        <w:numPr>
          <w:ilvl w:val="2"/>
          <w:numId w:val="26"/>
        </w:numPr>
        <w:spacing w:line="276" w:lineRule="auto"/>
        <w:rPr>
          <w:rFonts w:ascii="Georgia" w:hAnsi="Georgia"/>
          <w:sz w:val="22"/>
        </w:rPr>
      </w:pPr>
      <w:r w:rsidRPr="00CF6E45">
        <w:rPr>
          <w:rFonts w:ascii="Georgia" w:hAnsi="Georgia"/>
          <w:sz w:val="22"/>
        </w:rPr>
        <w:t>Firstly, in payment of all expenses reasonably incurred by the Lender in connection with the enforcement, and</w:t>
      </w:r>
    </w:p>
    <w:p w14:paraId="696AE5F3" w14:textId="08B659B8" w:rsidR="00A5179E" w:rsidRPr="00CF6E45" w:rsidRDefault="00C425A1" w:rsidP="007F48A5">
      <w:pPr>
        <w:pStyle w:val="Level4Number"/>
        <w:numPr>
          <w:ilvl w:val="2"/>
          <w:numId w:val="26"/>
        </w:numPr>
        <w:spacing w:line="276" w:lineRule="auto"/>
        <w:rPr>
          <w:rFonts w:ascii="Georgia" w:hAnsi="Georgia"/>
          <w:sz w:val="22"/>
        </w:rPr>
      </w:pPr>
      <w:r w:rsidRPr="00CF6E45">
        <w:rPr>
          <w:rFonts w:ascii="Georgia" w:hAnsi="Georgia"/>
          <w:sz w:val="22"/>
        </w:rPr>
        <w:t>Secondly in payment of any amount due to the holder of any right in security in respect of the sold/appropriated shares and any creditor who has executed diligence against that property (in conformity with the ranking of such right in security / diligence)</w:t>
      </w:r>
      <w:r w:rsidR="00636A41" w:rsidRPr="00CF6E45">
        <w:rPr>
          <w:rFonts w:ascii="Georgia" w:hAnsi="Georgia"/>
          <w:sz w:val="22"/>
        </w:rPr>
        <w:t xml:space="preserve"> </w:t>
      </w:r>
      <w:r w:rsidRPr="00CF6E45">
        <w:rPr>
          <w:rFonts w:ascii="Georgia" w:hAnsi="Georgia"/>
          <w:sz w:val="22"/>
        </w:rPr>
        <w:t xml:space="preserve">with any residue from the proceeds being paid to the </w:t>
      </w:r>
      <w:proofErr w:type="spellStart"/>
      <w:r w:rsidRPr="00CF6E45">
        <w:rPr>
          <w:rFonts w:ascii="Georgia" w:hAnsi="Georgia"/>
          <w:sz w:val="22"/>
        </w:rPr>
        <w:t>Chargor</w:t>
      </w:r>
      <w:proofErr w:type="spellEnd"/>
      <w:r w:rsidRPr="00CF6E45">
        <w:rPr>
          <w:rFonts w:ascii="Georgia" w:hAnsi="Georgia"/>
          <w:sz w:val="22"/>
        </w:rPr>
        <w:t>.</w:t>
      </w:r>
    </w:p>
    <w:p w14:paraId="4504806E" w14:textId="77777777" w:rsidR="00A5179E"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Where the holder of a right in security having priority in ranking over the </w:t>
      </w:r>
      <w:r w:rsidR="003A09E1" w:rsidRPr="00CF6E45">
        <w:rPr>
          <w:rFonts w:ascii="Georgia" w:hAnsi="Georgia"/>
          <w:sz w:val="22"/>
        </w:rPr>
        <w:t>S</w:t>
      </w:r>
      <w:r w:rsidRPr="00CF6E45">
        <w:rPr>
          <w:rFonts w:ascii="Georgia" w:hAnsi="Georgia"/>
          <w:sz w:val="22"/>
        </w:rPr>
        <w:t xml:space="preserve">hare </w:t>
      </w:r>
      <w:r w:rsidR="003A09E1" w:rsidRPr="00CF6E45">
        <w:rPr>
          <w:rFonts w:ascii="Georgia" w:hAnsi="Georgia"/>
          <w:sz w:val="22"/>
        </w:rPr>
        <w:t>P</w:t>
      </w:r>
      <w:r w:rsidRPr="00CF6E45">
        <w:rPr>
          <w:rFonts w:ascii="Georgia" w:hAnsi="Georgia"/>
          <w:sz w:val="22"/>
        </w:rPr>
        <w:t>ledge</w:t>
      </w:r>
      <w:r w:rsidR="003A09E1" w:rsidRPr="00CF6E45">
        <w:rPr>
          <w:rFonts w:ascii="Georgia" w:hAnsi="Georgia"/>
          <w:sz w:val="22"/>
        </w:rPr>
        <w:t>,</w:t>
      </w:r>
      <w:r w:rsidRPr="00CF6E45">
        <w:rPr>
          <w:rFonts w:ascii="Georgia" w:hAnsi="Georgia"/>
          <w:sz w:val="22"/>
        </w:rPr>
        <w:t xml:space="preserve"> or any creditor which has executed diligence which has such priority, payment must only be made if that holder or creditor consented to the enforcement.</w:t>
      </w:r>
    </w:p>
    <w:p w14:paraId="58BFDE0A" w14:textId="77777777" w:rsidR="00A5179E"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Guidance to CEG</w:t>
      </w:r>
      <w:r w:rsidRPr="00CF6E45">
        <w:rPr>
          <w:rFonts w:ascii="Georgia" w:hAnsi="Georgia"/>
          <w:sz w:val="22"/>
        </w:rPr>
        <w:t xml:space="preserve">: </w:t>
      </w:r>
      <w:r w:rsidR="00EC3806" w:rsidRPr="00CF6E45">
        <w:rPr>
          <w:rFonts w:ascii="Georgia" w:hAnsi="Georgia"/>
          <w:sz w:val="22"/>
        </w:rPr>
        <w:t>Legal advice should be sought in connection with the application of proceeds as a</w:t>
      </w:r>
      <w:r w:rsidRPr="00CF6E45">
        <w:rPr>
          <w:rFonts w:ascii="Georgia" w:hAnsi="Georgia"/>
          <w:sz w:val="22"/>
        </w:rPr>
        <w:t xml:space="preserve">batement rules apply where proceeds are inadequate to pay </w:t>
      </w:r>
      <w:r w:rsidR="003A09E1" w:rsidRPr="00CF6E45">
        <w:rPr>
          <w:rFonts w:ascii="Georgia" w:hAnsi="Georgia"/>
          <w:sz w:val="22"/>
        </w:rPr>
        <w:t xml:space="preserve">to </w:t>
      </w:r>
      <w:r w:rsidRPr="00CF6E45">
        <w:rPr>
          <w:rFonts w:ascii="Georgia" w:hAnsi="Georgia"/>
          <w:sz w:val="22"/>
        </w:rPr>
        <w:t xml:space="preserve">equal ranking secured creditors or </w:t>
      </w:r>
      <w:r w:rsidR="003A09E1" w:rsidRPr="00CF6E45">
        <w:rPr>
          <w:rFonts w:ascii="Georgia" w:hAnsi="Georgia"/>
          <w:sz w:val="22"/>
        </w:rPr>
        <w:t xml:space="preserve">to </w:t>
      </w:r>
      <w:r w:rsidRPr="00CF6E45">
        <w:rPr>
          <w:rFonts w:ascii="Georgia" w:hAnsi="Georgia"/>
          <w:sz w:val="22"/>
        </w:rPr>
        <w:t>equal ranking persons who have executed diligence</w:t>
      </w:r>
      <w:r w:rsidR="003A09E1" w:rsidRPr="00CF6E45">
        <w:rPr>
          <w:rFonts w:ascii="Georgia" w:hAnsi="Georgia"/>
          <w:sz w:val="22"/>
        </w:rPr>
        <w:t>;</w:t>
      </w:r>
      <w:r w:rsidR="00EC3806" w:rsidRPr="00CF6E45">
        <w:rPr>
          <w:rFonts w:ascii="Georgia" w:hAnsi="Georgia"/>
          <w:sz w:val="22"/>
        </w:rPr>
        <w:t xml:space="preserve"> </w:t>
      </w:r>
      <w:r w:rsidRPr="00CF6E45">
        <w:rPr>
          <w:rFonts w:ascii="Georgia" w:hAnsi="Georgia"/>
          <w:sz w:val="22"/>
        </w:rPr>
        <w:t>written statement</w:t>
      </w:r>
      <w:r w:rsidR="00EC3806" w:rsidRPr="00CF6E45">
        <w:rPr>
          <w:rFonts w:ascii="Georgia" w:hAnsi="Georgia"/>
          <w:sz w:val="22"/>
        </w:rPr>
        <w:t>s</w:t>
      </w:r>
      <w:r w:rsidRPr="00CF6E45">
        <w:rPr>
          <w:rFonts w:ascii="Georgia" w:hAnsi="Georgia"/>
          <w:sz w:val="22"/>
        </w:rPr>
        <w:t xml:space="preserve"> of how the proceeds have been applied</w:t>
      </w:r>
      <w:r w:rsidR="00EC3806" w:rsidRPr="00CF6E45">
        <w:rPr>
          <w:rFonts w:ascii="Georgia" w:hAnsi="Georgia"/>
          <w:sz w:val="22"/>
        </w:rPr>
        <w:t xml:space="preserve"> must be given to certain persons including the </w:t>
      </w:r>
      <w:proofErr w:type="spellStart"/>
      <w:r w:rsidR="00EC3806" w:rsidRPr="00CF6E45">
        <w:rPr>
          <w:rFonts w:ascii="Georgia" w:hAnsi="Georgia"/>
          <w:sz w:val="22"/>
        </w:rPr>
        <w:t>Chargor</w:t>
      </w:r>
      <w:proofErr w:type="spellEnd"/>
      <w:r w:rsidR="00EC3806" w:rsidRPr="00CF6E45">
        <w:rPr>
          <w:rFonts w:ascii="Georgia" w:hAnsi="Georgia"/>
          <w:sz w:val="22"/>
        </w:rPr>
        <w:t xml:space="preserve"> and the Borrower.</w:t>
      </w:r>
      <w:r w:rsidR="00780EF5" w:rsidRPr="00CF6E45">
        <w:rPr>
          <w:rFonts w:ascii="Georgia" w:hAnsi="Georgia"/>
          <w:sz w:val="22"/>
        </w:rPr>
        <w:t xml:space="preserve"> Clause 15.5 (</w:t>
      </w:r>
      <w:r w:rsidR="00780EF5" w:rsidRPr="00CF6E45">
        <w:rPr>
          <w:rFonts w:ascii="Georgia" w:hAnsi="Georgia"/>
          <w:i/>
          <w:iCs/>
          <w:sz w:val="22"/>
        </w:rPr>
        <w:t>Prospective Liabilities</w:t>
      </w:r>
      <w:r w:rsidR="00780EF5" w:rsidRPr="00CF6E45">
        <w:rPr>
          <w:rFonts w:ascii="Georgia" w:hAnsi="Georgia"/>
          <w:sz w:val="22"/>
        </w:rPr>
        <w:t>) provides that after enforcement the Lender must retain moneys in trust until they are applied in accordance with clause 15 (</w:t>
      </w:r>
      <w:r w:rsidR="00780EF5" w:rsidRPr="00CF6E45">
        <w:rPr>
          <w:rFonts w:ascii="Georgia" w:hAnsi="Georgia"/>
          <w:i/>
          <w:iCs/>
          <w:sz w:val="22"/>
        </w:rPr>
        <w:t>Application of proceeds</w:t>
      </w:r>
      <w:r w:rsidR="00780EF5" w:rsidRPr="00CF6E45">
        <w:rPr>
          <w:rFonts w:ascii="Georgia" w:hAnsi="Georgia"/>
          <w:sz w:val="22"/>
        </w:rPr>
        <w:t>). This is required by law.</w:t>
      </w:r>
    </w:p>
    <w:p w14:paraId="53B61CEB" w14:textId="77777777" w:rsidR="003A09E1"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16: Delegation</w:t>
      </w:r>
    </w:p>
    <w:p w14:paraId="0C8043CF" w14:textId="77777777" w:rsidR="003A09E1" w:rsidRPr="00CF6E45" w:rsidRDefault="00C425A1" w:rsidP="007F48A5">
      <w:pPr>
        <w:pStyle w:val="BodyText2"/>
        <w:spacing w:line="276" w:lineRule="auto"/>
        <w:rPr>
          <w:rFonts w:ascii="Georgia" w:hAnsi="Georgia"/>
          <w:sz w:val="22"/>
        </w:rPr>
      </w:pPr>
      <w:r w:rsidRPr="00CF6E45">
        <w:rPr>
          <w:rFonts w:ascii="Georgia" w:hAnsi="Georgia"/>
          <w:b/>
          <w:sz w:val="22"/>
        </w:rPr>
        <w:t>Purpose</w:t>
      </w:r>
      <w:r w:rsidRPr="00CF6E45">
        <w:rPr>
          <w:rFonts w:ascii="Georgia" w:hAnsi="Georgia"/>
          <w:sz w:val="22"/>
        </w:rPr>
        <w:t xml:space="preserve">: This clause allows the Lender to delegate its powers to specialists (such as share sale advisers) on any terms </w:t>
      </w:r>
      <w:r w:rsidR="00181E1F" w:rsidRPr="00CF6E45">
        <w:rPr>
          <w:rFonts w:ascii="Georgia" w:hAnsi="Georgia"/>
          <w:sz w:val="22"/>
        </w:rPr>
        <w:t>it</w:t>
      </w:r>
      <w:r w:rsidRPr="00CF6E45">
        <w:rPr>
          <w:rFonts w:ascii="Georgia" w:hAnsi="Georgia"/>
          <w:sz w:val="22"/>
        </w:rPr>
        <w:t xml:space="preserve"> think</w:t>
      </w:r>
      <w:r w:rsidR="00181E1F" w:rsidRPr="00CF6E45">
        <w:rPr>
          <w:rFonts w:ascii="Georgia" w:hAnsi="Georgia"/>
          <w:sz w:val="22"/>
        </w:rPr>
        <w:t>s</w:t>
      </w:r>
      <w:r w:rsidRPr="00CF6E45">
        <w:rPr>
          <w:rFonts w:ascii="Georgia" w:hAnsi="Georgia"/>
          <w:sz w:val="22"/>
        </w:rPr>
        <w:t xml:space="preserve"> fit.</w:t>
      </w:r>
    </w:p>
    <w:p w14:paraId="2FB606E9"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1</w:t>
      </w:r>
      <w:r w:rsidR="00780EF5" w:rsidRPr="00CF6E45">
        <w:rPr>
          <w:rFonts w:ascii="Georgia" w:hAnsi="Georgia"/>
          <w:sz w:val="22"/>
          <w:u w:val="single"/>
        </w:rPr>
        <w:t>7</w:t>
      </w:r>
      <w:r w:rsidRPr="00CF6E45">
        <w:rPr>
          <w:rFonts w:ascii="Georgia" w:hAnsi="Georgia"/>
          <w:sz w:val="22"/>
          <w:u w:val="single"/>
        </w:rPr>
        <w:t>: Costs and Indemnity</w:t>
      </w:r>
    </w:p>
    <w:p w14:paraId="7533E0A6"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xml:space="preserve">: </w:t>
      </w:r>
      <w:bookmarkStart w:id="13" w:name="_Hlk222839546"/>
      <w:r w:rsidRPr="00CF6E45">
        <w:rPr>
          <w:rFonts w:ascii="Georgia" w:hAnsi="Georgia"/>
          <w:sz w:val="22"/>
        </w:rPr>
        <w:t xml:space="preserve">This clause provides that the </w:t>
      </w:r>
      <w:proofErr w:type="spellStart"/>
      <w:r w:rsidRPr="00CF6E45">
        <w:rPr>
          <w:rFonts w:ascii="Georgia" w:hAnsi="Georgia"/>
          <w:sz w:val="22"/>
        </w:rPr>
        <w:t>Chargor</w:t>
      </w:r>
      <w:proofErr w:type="spellEnd"/>
      <w:r w:rsidRPr="00CF6E45">
        <w:rPr>
          <w:rFonts w:ascii="Georgia" w:hAnsi="Georgia"/>
          <w:sz w:val="22"/>
        </w:rPr>
        <w:t xml:space="preserve"> must reimburse the Lender and any receiver on a "full indemnity basis" for all costs incurred in connection with the </w:t>
      </w:r>
      <w:r w:rsidR="004D2EF3" w:rsidRPr="00CF6E45">
        <w:rPr>
          <w:rFonts w:ascii="Georgia" w:hAnsi="Georgia"/>
          <w:sz w:val="22"/>
        </w:rPr>
        <w:t>Share Pledge</w:t>
      </w:r>
      <w:r w:rsidRPr="00CF6E45">
        <w:rPr>
          <w:rFonts w:ascii="Georgia" w:hAnsi="Georgia"/>
          <w:sz w:val="22"/>
        </w:rPr>
        <w:t>, the Secured Assets, and enforcement.</w:t>
      </w:r>
    </w:p>
    <w:p w14:paraId="623E2F7F"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lastRenderedPageBreak/>
        <w:t xml:space="preserve">"Full indemnity basis" means all actual costs must be paid, not just costs that are reasonable or proportionate. Costs include legal and professional fees for negotiating, preparing and executing the </w:t>
      </w:r>
      <w:r w:rsidR="004D2EF3" w:rsidRPr="00CF6E45">
        <w:rPr>
          <w:rFonts w:ascii="Georgia" w:hAnsi="Georgia"/>
          <w:sz w:val="22"/>
        </w:rPr>
        <w:t>Share Pledge</w:t>
      </w:r>
      <w:r w:rsidRPr="00CF6E45">
        <w:rPr>
          <w:rFonts w:ascii="Georgia" w:hAnsi="Georgia"/>
          <w:sz w:val="22"/>
        </w:rPr>
        <w:t xml:space="preserve">, taking and enforcing security, and dealing with any breaches. </w:t>
      </w:r>
    </w:p>
    <w:p w14:paraId="06B10A42"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The </w:t>
      </w:r>
      <w:proofErr w:type="spellStart"/>
      <w:r w:rsidRPr="00CF6E45">
        <w:rPr>
          <w:rFonts w:ascii="Georgia" w:hAnsi="Georgia"/>
          <w:sz w:val="22"/>
        </w:rPr>
        <w:t>Chargor</w:t>
      </w:r>
      <w:proofErr w:type="spellEnd"/>
      <w:r w:rsidRPr="00CF6E45">
        <w:rPr>
          <w:rFonts w:ascii="Georgia" w:hAnsi="Georgia"/>
          <w:sz w:val="22"/>
        </w:rPr>
        <w:t xml:space="preserve"> must also indemnify the Lender, any receiver and their employees and agents against any failure or delay in paying these costs.</w:t>
      </w:r>
    </w:p>
    <w:bookmarkEnd w:id="13"/>
    <w:p w14:paraId="50E347C3"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1</w:t>
      </w:r>
      <w:r w:rsidR="00780EF5" w:rsidRPr="00CF6E45">
        <w:rPr>
          <w:rFonts w:ascii="Georgia" w:hAnsi="Georgia"/>
          <w:sz w:val="22"/>
          <w:u w:val="single"/>
        </w:rPr>
        <w:t>8</w:t>
      </w:r>
      <w:r w:rsidRPr="00CF6E45">
        <w:rPr>
          <w:rFonts w:ascii="Georgia" w:hAnsi="Georgia"/>
          <w:sz w:val="22"/>
          <w:u w:val="single"/>
        </w:rPr>
        <w:t xml:space="preserve">: Further Assurance </w:t>
      </w:r>
    </w:p>
    <w:p w14:paraId="3A44F01D" w14:textId="77777777" w:rsidR="008C18EB"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Purpose</w:t>
      </w:r>
      <w:r w:rsidRPr="00CF6E45">
        <w:rPr>
          <w:rFonts w:ascii="Georgia" w:hAnsi="Georgia"/>
          <w:sz w:val="22"/>
        </w:rPr>
        <w:t xml:space="preserve">: This clause obliges the </w:t>
      </w:r>
      <w:proofErr w:type="spellStart"/>
      <w:r w:rsidRPr="00CF6E45">
        <w:rPr>
          <w:rFonts w:ascii="Georgia" w:hAnsi="Georgia"/>
          <w:sz w:val="22"/>
        </w:rPr>
        <w:t>Chargor</w:t>
      </w:r>
      <w:proofErr w:type="spellEnd"/>
      <w:r w:rsidRPr="00CF6E45">
        <w:rPr>
          <w:rFonts w:ascii="Georgia" w:hAnsi="Georgia"/>
          <w:sz w:val="22"/>
        </w:rPr>
        <w:t xml:space="preserve"> to take whatever action the Lender may reasonably require </w:t>
      </w:r>
      <w:proofErr w:type="gramStart"/>
      <w:r w:rsidRPr="00CF6E45">
        <w:rPr>
          <w:rFonts w:ascii="Georgia" w:hAnsi="Georgia"/>
          <w:sz w:val="22"/>
        </w:rPr>
        <w:t xml:space="preserve">to </w:t>
      </w:r>
      <w:r w:rsidR="007D5FA4" w:rsidRPr="00CF6E45">
        <w:rPr>
          <w:rFonts w:ascii="Georgia" w:hAnsi="Georgia"/>
          <w:sz w:val="22"/>
        </w:rPr>
        <w:t>create</w:t>
      </w:r>
      <w:proofErr w:type="gramEnd"/>
      <w:r w:rsidR="007D5FA4" w:rsidRPr="00CF6E45">
        <w:rPr>
          <w:rFonts w:ascii="Georgia" w:hAnsi="Georgia"/>
          <w:sz w:val="22"/>
        </w:rPr>
        <w:t xml:space="preserve">, </w:t>
      </w:r>
      <w:r w:rsidRPr="00CF6E45">
        <w:rPr>
          <w:rFonts w:ascii="Georgia" w:hAnsi="Georgia"/>
          <w:sz w:val="22"/>
        </w:rPr>
        <w:t xml:space="preserve">perfect </w:t>
      </w:r>
      <w:r w:rsidR="007D5FA4" w:rsidRPr="00CF6E45">
        <w:rPr>
          <w:rFonts w:ascii="Georgia" w:hAnsi="Georgia"/>
          <w:sz w:val="22"/>
        </w:rPr>
        <w:t xml:space="preserve">or protect </w:t>
      </w:r>
      <w:r w:rsidRPr="00CF6E45">
        <w:rPr>
          <w:rFonts w:ascii="Georgia" w:hAnsi="Georgia"/>
          <w:sz w:val="22"/>
        </w:rPr>
        <w:t xml:space="preserve">the security </w:t>
      </w:r>
      <w:r w:rsidR="007D5FA4" w:rsidRPr="00CF6E45">
        <w:rPr>
          <w:rFonts w:ascii="Georgia" w:hAnsi="Georgia"/>
          <w:sz w:val="22"/>
        </w:rPr>
        <w:t xml:space="preserve">(or a substitute security) </w:t>
      </w:r>
      <w:r w:rsidRPr="00CF6E45">
        <w:rPr>
          <w:rFonts w:ascii="Georgia" w:hAnsi="Georgia"/>
          <w:sz w:val="22"/>
        </w:rPr>
        <w:t xml:space="preserve">or facilitate enforcement, at the </w:t>
      </w:r>
      <w:proofErr w:type="spellStart"/>
      <w:r w:rsidRPr="00CF6E45">
        <w:rPr>
          <w:rFonts w:ascii="Georgia" w:hAnsi="Georgia"/>
          <w:sz w:val="22"/>
        </w:rPr>
        <w:t>Chargor's</w:t>
      </w:r>
      <w:proofErr w:type="spellEnd"/>
      <w:r w:rsidRPr="00CF6E45">
        <w:rPr>
          <w:rFonts w:ascii="Georgia" w:hAnsi="Georgia"/>
          <w:sz w:val="22"/>
        </w:rPr>
        <w:t xml:space="preserve"> own expense.</w:t>
      </w:r>
      <w:r w:rsidR="007D5FA4" w:rsidRPr="00CF6E45">
        <w:rPr>
          <w:rFonts w:ascii="Georgia" w:hAnsi="Georgia"/>
          <w:sz w:val="22"/>
        </w:rPr>
        <w:t xml:space="preserve">  </w:t>
      </w:r>
    </w:p>
    <w:p w14:paraId="01BC4E13" w14:textId="77777777" w:rsidR="008C18EB"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As a transfer of some of the shares made other than in compliance with the disposals provisions at clause </w:t>
      </w:r>
      <w:r w:rsidR="00181E1F" w:rsidRPr="00CF6E45">
        <w:rPr>
          <w:rFonts w:ascii="Georgia" w:hAnsi="Georgia"/>
          <w:sz w:val="22"/>
        </w:rPr>
        <w:t xml:space="preserve">8.1 </w:t>
      </w:r>
      <w:r w:rsidRPr="00CF6E45">
        <w:rPr>
          <w:rFonts w:ascii="Georgia" w:hAnsi="Georgia"/>
          <w:sz w:val="22"/>
        </w:rPr>
        <w:t>can result in a share pledge being extinguished</w:t>
      </w:r>
      <w:r w:rsidR="00780EF5" w:rsidRPr="00CF6E45">
        <w:rPr>
          <w:rFonts w:ascii="Georgia" w:hAnsi="Georgia"/>
          <w:sz w:val="22"/>
        </w:rPr>
        <w:t>,</w:t>
      </w:r>
      <w:r w:rsidRPr="00CF6E45">
        <w:rPr>
          <w:rFonts w:ascii="Georgia" w:hAnsi="Georgia"/>
          <w:sz w:val="22"/>
        </w:rPr>
        <w:t xml:space="preserve"> the obligations on the </w:t>
      </w:r>
      <w:proofErr w:type="spellStart"/>
      <w:r w:rsidRPr="00CF6E45">
        <w:rPr>
          <w:rFonts w:ascii="Georgia" w:hAnsi="Georgia"/>
          <w:sz w:val="22"/>
        </w:rPr>
        <w:t>Chargor</w:t>
      </w:r>
      <w:proofErr w:type="spellEnd"/>
      <w:r w:rsidRPr="00CF6E45">
        <w:rPr>
          <w:rFonts w:ascii="Georgia" w:hAnsi="Georgia"/>
          <w:sz w:val="22"/>
        </w:rPr>
        <w:t xml:space="preserve"> extend to facilitating the creation of substitute security, to enable, for example, fresh share security to be taken over the remaining shares.  </w:t>
      </w:r>
    </w:p>
    <w:p w14:paraId="300BD198" w14:textId="77777777" w:rsidR="008C18EB"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The </w:t>
      </w:r>
      <w:proofErr w:type="spellStart"/>
      <w:r w:rsidRPr="00CF6E45">
        <w:rPr>
          <w:rFonts w:ascii="Georgia" w:hAnsi="Georgia"/>
          <w:sz w:val="22"/>
        </w:rPr>
        <w:t>Chargor</w:t>
      </w:r>
      <w:proofErr w:type="spellEnd"/>
      <w:r w:rsidRPr="00CF6E45">
        <w:rPr>
          <w:rFonts w:ascii="Georgia" w:hAnsi="Georgia"/>
          <w:sz w:val="22"/>
        </w:rPr>
        <w:t xml:space="preserve"> is also obliged to facilitate the exercise of voting rights by the Lender on enforcement so that the Lender can exercise the voting rights to remove the directors (as necessary) to control the Borrower. </w:t>
      </w:r>
    </w:p>
    <w:p w14:paraId="507491E1" w14:textId="77777777" w:rsidR="007D5FA4"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 xml:space="preserve">By law certain parties can request information of the Lender relating to the Share Pledge; this clause obliges the </w:t>
      </w:r>
      <w:proofErr w:type="spellStart"/>
      <w:r w:rsidRPr="00CF6E45">
        <w:rPr>
          <w:rFonts w:ascii="Georgia" w:hAnsi="Georgia"/>
          <w:sz w:val="22"/>
        </w:rPr>
        <w:t>Chargor</w:t>
      </w:r>
      <w:proofErr w:type="spellEnd"/>
      <w:r w:rsidRPr="00CF6E45">
        <w:rPr>
          <w:rFonts w:ascii="Georgia" w:hAnsi="Georgia"/>
          <w:sz w:val="22"/>
        </w:rPr>
        <w:t xml:space="preserve"> to assist the Lender in meeting those information request obligations.</w:t>
      </w:r>
    </w:p>
    <w:p w14:paraId="230D5788"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sz w:val="22"/>
        </w:rPr>
        <w:t>Th</w:t>
      </w:r>
      <w:r w:rsidR="008C18EB" w:rsidRPr="00CF6E45">
        <w:rPr>
          <w:rFonts w:ascii="Georgia" w:hAnsi="Georgia"/>
          <w:sz w:val="22"/>
        </w:rPr>
        <w:t xml:space="preserve">e actions required of the </w:t>
      </w:r>
      <w:proofErr w:type="spellStart"/>
      <w:r w:rsidR="008C18EB" w:rsidRPr="00CF6E45">
        <w:rPr>
          <w:rFonts w:ascii="Georgia" w:hAnsi="Georgia"/>
          <w:sz w:val="22"/>
        </w:rPr>
        <w:t>Chargor</w:t>
      </w:r>
      <w:proofErr w:type="spellEnd"/>
      <w:r w:rsidRPr="00CF6E45">
        <w:rPr>
          <w:rFonts w:ascii="Georgia" w:hAnsi="Georgia"/>
          <w:sz w:val="22"/>
        </w:rPr>
        <w:t xml:space="preserve"> include executing any transfer, assign</w:t>
      </w:r>
      <w:r w:rsidR="007D5FA4" w:rsidRPr="00CF6E45">
        <w:rPr>
          <w:rFonts w:ascii="Georgia" w:hAnsi="Georgia"/>
          <w:sz w:val="22"/>
        </w:rPr>
        <w:t>ation</w:t>
      </w:r>
      <w:r w:rsidRPr="00CF6E45">
        <w:rPr>
          <w:rFonts w:ascii="Georgia" w:hAnsi="Georgia"/>
          <w:sz w:val="22"/>
        </w:rPr>
        <w:t xml:space="preserve"> or assurance, giving any notice, and making any filing or registration the Lender considers necessary.</w:t>
      </w:r>
    </w:p>
    <w:p w14:paraId="51E3BA5F"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1</w:t>
      </w:r>
      <w:r w:rsidR="00780EF5" w:rsidRPr="00CF6E45">
        <w:rPr>
          <w:rFonts w:ascii="Georgia" w:hAnsi="Georgia"/>
          <w:sz w:val="22"/>
          <w:u w:val="single"/>
        </w:rPr>
        <w:t>9</w:t>
      </w:r>
      <w:r w:rsidRPr="00CF6E45">
        <w:rPr>
          <w:rFonts w:ascii="Georgia" w:hAnsi="Georgia"/>
          <w:sz w:val="22"/>
          <w:u w:val="single"/>
        </w:rPr>
        <w:t>: Power of Attorney</w:t>
      </w:r>
    </w:p>
    <w:p w14:paraId="2871B0AB" w14:textId="77777777" w:rsidR="00C167AF" w:rsidRPr="00CF6E45" w:rsidRDefault="00C425A1" w:rsidP="007F48A5">
      <w:pPr>
        <w:pStyle w:val="BodyText1"/>
        <w:spacing w:before="120" w:after="0" w:line="276" w:lineRule="auto"/>
        <w:ind w:left="754"/>
        <w:rPr>
          <w:rFonts w:ascii="Georgia" w:hAnsi="Georgia"/>
          <w:sz w:val="22"/>
        </w:rPr>
      </w:pPr>
      <w:r w:rsidRPr="00CF6E45">
        <w:rPr>
          <w:rFonts w:ascii="Georgia" w:hAnsi="Georgia"/>
          <w:b/>
          <w:sz w:val="22"/>
        </w:rPr>
        <w:t>Purpose</w:t>
      </w:r>
      <w:r w:rsidRPr="00CF6E45">
        <w:rPr>
          <w:rFonts w:ascii="Georgia" w:hAnsi="Georgia"/>
          <w:sz w:val="22"/>
        </w:rPr>
        <w:t xml:space="preserve">: This clause enables the Lender to act without needing the </w:t>
      </w:r>
      <w:proofErr w:type="spellStart"/>
      <w:r w:rsidRPr="00CF6E45">
        <w:rPr>
          <w:rFonts w:ascii="Georgia" w:hAnsi="Georgia"/>
          <w:sz w:val="22"/>
        </w:rPr>
        <w:t>Chargor's</w:t>
      </w:r>
      <w:proofErr w:type="spellEnd"/>
      <w:r w:rsidRPr="00CF6E45">
        <w:rPr>
          <w:rFonts w:ascii="Georgia" w:hAnsi="Georgia"/>
          <w:sz w:val="22"/>
        </w:rPr>
        <w:t xml:space="preserve"> cooperation, which is particularly important during enforcement. </w:t>
      </w:r>
      <w:r w:rsidR="00D60BE8" w:rsidRPr="00CF6E45">
        <w:rPr>
          <w:rFonts w:ascii="Georgia" w:hAnsi="Georgia"/>
          <w:sz w:val="22"/>
        </w:rPr>
        <w:t>T</w:t>
      </w:r>
      <w:r w:rsidRPr="00CF6E45">
        <w:rPr>
          <w:rFonts w:ascii="Georgia" w:hAnsi="Georgia"/>
          <w:sz w:val="22"/>
        </w:rPr>
        <w:t xml:space="preserve">he power of attorney </w:t>
      </w:r>
      <w:r w:rsidR="00D60BE8" w:rsidRPr="00CF6E45">
        <w:rPr>
          <w:rFonts w:ascii="Georgia" w:hAnsi="Georgia"/>
          <w:sz w:val="22"/>
        </w:rPr>
        <w:t xml:space="preserve">may not </w:t>
      </w:r>
      <w:r w:rsidRPr="00CF6E45">
        <w:rPr>
          <w:rFonts w:ascii="Georgia" w:hAnsi="Georgia"/>
          <w:sz w:val="22"/>
        </w:rPr>
        <w:t xml:space="preserve">survive the </w:t>
      </w:r>
      <w:proofErr w:type="spellStart"/>
      <w:r w:rsidRPr="00CF6E45">
        <w:rPr>
          <w:rFonts w:ascii="Georgia" w:hAnsi="Georgia"/>
          <w:sz w:val="22"/>
        </w:rPr>
        <w:t>Chargor's</w:t>
      </w:r>
      <w:proofErr w:type="spellEnd"/>
      <w:r w:rsidRPr="00CF6E45">
        <w:rPr>
          <w:rFonts w:ascii="Georgia" w:hAnsi="Georgia"/>
          <w:sz w:val="22"/>
        </w:rPr>
        <w:t xml:space="preserve"> insolvency, it may not (as legal provisions which mean that a power of attorney granted in security in England and Wales survives insolvency do not apply in Scotland).</w:t>
      </w:r>
    </w:p>
    <w:p w14:paraId="2C936803" w14:textId="77777777" w:rsidR="008D19E8" w:rsidRPr="00CF6E45" w:rsidRDefault="008D19E8" w:rsidP="007F48A5">
      <w:pPr>
        <w:pStyle w:val="BodyText1"/>
        <w:spacing w:before="120" w:after="0" w:line="276" w:lineRule="auto"/>
        <w:ind w:left="754"/>
        <w:rPr>
          <w:rFonts w:ascii="Georgia" w:hAnsi="Georgia"/>
          <w:sz w:val="22"/>
        </w:rPr>
      </w:pPr>
    </w:p>
    <w:p w14:paraId="2E0A1767"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 xml:space="preserve">Clause </w:t>
      </w:r>
      <w:r w:rsidR="00780EF5" w:rsidRPr="00CF6E45">
        <w:rPr>
          <w:rFonts w:ascii="Georgia" w:hAnsi="Georgia"/>
          <w:sz w:val="22"/>
          <w:u w:val="single"/>
        </w:rPr>
        <w:t>20</w:t>
      </w:r>
      <w:r w:rsidRPr="00CF6E45">
        <w:rPr>
          <w:rFonts w:ascii="Georgia" w:hAnsi="Georgia"/>
          <w:sz w:val="22"/>
          <w:u w:val="single"/>
        </w:rPr>
        <w:t>: Release</w:t>
      </w:r>
    </w:p>
    <w:p w14:paraId="54309BDD" w14:textId="77777777" w:rsidR="008D19E8" w:rsidRPr="00CF6E45" w:rsidRDefault="00C425A1" w:rsidP="007F48A5">
      <w:pPr>
        <w:pStyle w:val="BodyText2"/>
        <w:spacing w:line="276" w:lineRule="auto"/>
        <w:rPr>
          <w:rFonts w:ascii="Georgia" w:hAnsi="Georgia"/>
          <w:sz w:val="22"/>
        </w:rPr>
      </w:pPr>
      <w:r w:rsidRPr="00CF6E45">
        <w:rPr>
          <w:rFonts w:ascii="Georgia" w:hAnsi="Georgia"/>
          <w:b/>
          <w:sz w:val="22"/>
        </w:rPr>
        <w:t>Purpose</w:t>
      </w:r>
      <w:r w:rsidRPr="00CF6E45">
        <w:rPr>
          <w:rFonts w:ascii="Georgia" w:hAnsi="Georgia"/>
          <w:sz w:val="22"/>
        </w:rPr>
        <w:t>: This clause provides that the Lender must release the security once the Secured Liabilities have been fully and finally repaid, subject to the conditional discharge provisions in clause 2</w:t>
      </w:r>
      <w:r w:rsidR="00780EF5" w:rsidRPr="00CF6E45">
        <w:rPr>
          <w:rFonts w:ascii="Georgia" w:hAnsi="Georgia"/>
          <w:sz w:val="22"/>
        </w:rPr>
        <w:t>7</w:t>
      </w:r>
      <w:r w:rsidRPr="00CF6E45">
        <w:rPr>
          <w:rFonts w:ascii="Georgia" w:hAnsi="Georgia"/>
          <w:sz w:val="22"/>
        </w:rPr>
        <w:t>.3 (which allow the Lender to retain security if there is a clawback risk).</w:t>
      </w:r>
    </w:p>
    <w:p w14:paraId="67D85821"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 2</w:t>
      </w:r>
      <w:r w:rsidR="00780EF5" w:rsidRPr="00CF6E45">
        <w:rPr>
          <w:rFonts w:ascii="Georgia" w:hAnsi="Georgia"/>
          <w:sz w:val="22"/>
          <w:u w:val="single"/>
        </w:rPr>
        <w:t>1</w:t>
      </w:r>
      <w:r w:rsidRPr="00CF6E45">
        <w:rPr>
          <w:rFonts w:ascii="Georgia" w:hAnsi="Georgia"/>
          <w:sz w:val="22"/>
          <w:u w:val="single"/>
        </w:rPr>
        <w:t>: Assign</w:t>
      </w:r>
      <w:r w:rsidR="00FF292C" w:rsidRPr="00CF6E45">
        <w:rPr>
          <w:rFonts w:ascii="Georgia" w:hAnsi="Georgia"/>
          <w:sz w:val="22"/>
          <w:u w:val="single"/>
        </w:rPr>
        <w:t>ation</w:t>
      </w:r>
      <w:r w:rsidRPr="00CF6E45">
        <w:rPr>
          <w:rFonts w:ascii="Georgia" w:hAnsi="Georgia"/>
          <w:sz w:val="22"/>
          <w:u w:val="single"/>
        </w:rPr>
        <w:t xml:space="preserve"> and Transfer </w:t>
      </w:r>
    </w:p>
    <w:p w14:paraId="71B9EAF0" w14:textId="77777777" w:rsidR="008D19E8" w:rsidRPr="00CF6E45" w:rsidRDefault="00C425A1" w:rsidP="007F48A5">
      <w:pPr>
        <w:pStyle w:val="BodyText2"/>
        <w:spacing w:line="276" w:lineRule="auto"/>
        <w:rPr>
          <w:rFonts w:ascii="Georgia" w:hAnsi="Georgia"/>
          <w:sz w:val="22"/>
        </w:rPr>
      </w:pPr>
      <w:r w:rsidRPr="00CF6E45">
        <w:rPr>
          <w:rFonts w:ascii="Georgia" w:hAnsi="Georgia"/>
          <w:b/>
          <w:sz w:val="22"/>
        </w:rPr>
        <w:t>Purpose</w:t>
      </w:r>
      <w:r w:rsidRPr="00CF6E45">
        <w:rPr>
          <w:rFonts w:ascii="Georgia" w:hAnsi="Georgia"/>
          <w:sz w:val="22"/>
        </w:rPr>
        <w:t xml:space="preserve">: This clause provides that the Lender can freely assign or transfer its rights without the </w:t>
      </w:r>
      <w:proofErr w:type="spellStart"/>
      <w:r w:rsidRPr="00CF6E45">
        <w:rPr>
          <w:rFonts w:ascii="Georgia" w:hAnsi="Georgia"/>
          <w:sz w:val="22"/>
        </w:rPr>
        <w:t>Chargor's</w:t>
      </w:r>
      <w:proofErr w:type="spellEnd"/>
      <w:r w:rsidRPr="00CF6E45">
        <w:rPr>
          <w:rFonts w:ascii="Georgia" w:hAnsi="Georgia"/>
          <w:sz w:val="22"/>
        </w:rPr>
        <w:t xml:space="preserve"> consent, but the </w:t>
      </w:r>
      <w:proofErr w:type="spellStart"/>
      <w:r w:rsidRPr="00CF6E45">
        <w:rPr>
          <w:rFonts w:ascii="Georgia" w:hAnsi="Georgia"/>
          <w:sz w:val="22"/>
        </w:rPr>
        <w:t>Chargor</w:t>
      </w:r>
      <w:proofErr w:type="spellEnd"/>
      <w:r w:rsidRPr="00CF6E45">
        <w:rPr>
          <w:rFonts w:ascii="Georgia" w:hAnsi="Georgia"/>
          <w:sz w:val="22"/>
        </w:rPr>
        <w:t xml:space="preserve"> cannot assign its rights or transfer its obligations.</w:t>
      </w:r>
    </w:p>
    <w:p w14:paraId="0476EA2F"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lastRenderedPageBreak/>
        <w:t>Clause 2</w:t>
      </w:r>
      <w:r w:rsidR="00780EF5" w:rsidRPr="00CF6E45">
        <w:rPr>
          <w:rFonts w:ascii="Georgia" w:hAnsi="Georgia"/>
          <w:sz w:val="22"/>
          <w:u w:val="single"/>
        </w:rPr>
        <w:t>2</w:t>
      </w:r>
      <w:r w:rsidRPr="00CF6E45">
        <w:rPr>
          <w:rFonts w:ascii="Georgia" w:hAnsi="Georgia"/>
          <w:sz w:val="22"/>
          <w:u w:val="single"/>
        </w:rPr>
        <w:t xml:space="preserve">: Set-Off </w:t>
      </w:r>
    </w:p>
    <w:p w14:paraId="6102BD40" w14:textId="77777777" w:rsidR="008D19E8" w:rsidRPr="00CF6E45" w:rsidRDefault="00C425A1" w:rsidP="007F48A5">
      <w:pPr>
        <w:pStyle w:val="BodyText2"/>
        <w:spacing w:line="276" w:lineRule="auto"/>
        <w:rPr>
          <w:rFonts w:ascii="Georgia" w:hAnsi="Georgia"/>
          <w:sz w:val="22"/>
        </w:rPr>
      </w:pPr>
      <w:r w:rsidRPr="00CF6E45">
        <w:rPr>
          <w:rFonts w:ascii="Georgia" w:hAnsi="Georgia"/>
          <w:b/>
          <w:sz w:val="22"/>
        </w:rPr>
        <w:t>Purpose</w:t>
      </w:r>
      <w:r w:rsidRPr="00CF6E45">
        <w:rPr>
          <w:rFonts w:ascii="Georgia" w:hAnsi="Georgia"/>
          <w:sz w:val="22"/>
        </w:rPr>
        <w:t xml:space="preserve">: This clause gives the Lender the right to set off any liability of the </w:t>
      </w:r>
      <w:proofErr w:type="spellStart"/>
      <w:r w:rsidRPr="00CF6E45">
        <w:rPr>
          <w:rFonts w:ascii="Georgia" w:hAnsi="Georgia"/>
          <w:sz w:val="22"/>
        </w:rPr>
        <w:t>Chargor</w:t>
      </w:r>
      <w:proofErr w:type="spellEnd"/>
      <w:r w:rsidRPr="00CF6E45">
        <w:rPr>
          <w:rFonts w:ascii="Georgia" w:hAnsi="Georgia"/>
          <w:sz w:val="22"/>
        </w:rPr>
        <w:t xml:space="preserve"> against any liability of the Lender to the </w:t>
      </w:r>
      <w:proofErr w:type="spellStart"/>
      <w:proofErr w:type="gramStart"/>
      <w:r w:rsidRPr="00CF6E45">
        <w:rPr>
          <w:rFonts w:ascii="Georgia" w:hAnsi="Georgia"/>
          <w:sz w:val="22"/>
        </w:rPr>
        <w:t>Chargor</w:t>
      </w:r>
      <w:proofErr w:type="spellEnd"/>
      <w:r w:rsidR="00780EF5" w:rsidRPr="00CF6E45">
        <w:rPr>
          <w:rFonts w:ascii="Georgia" w:hAnsi="Georgia"/>
          <w:sz w:val="22"/>
        </w:rPr>
        <w:t>,</w:t>
      </w:r>
      <w:r w:rsidRPr="00CF6E45">
        <w:rPr>
          <w:rFonts w:ascii="Georgia" w:hAnsi="Georgia"/>
          <w:sz w:val="22"/>
        </w:rPr>
        <w:t xml:space="preserve"> but</w:t>
      </w:r>
      <w:proofErr w:type="gramEnd"/>
      <w:r w:rsidRPr="00CF6E45">
        <w:rPr>
          <w:rFonts w:ascii="Georgia" w:hAnsi="Georgia"/>
          <w:sz w:val="22"/>
        </w:rPr>
        <w:t xml:space="preserve"> prevents the </w:t>
      </w:r>
      <w:proofErr w:type="spellStart"/>
      <w:r w:rsidRPr="00CF6E45">
        <w:rPr>
          <w:rFonts w:ascii="Georgia" w:hAnsi="Georgia"/>
          <w:sz w:val="22"/>
        </w:rPr>
        <w:t>Chargor</w:t>
      </w:r>
      <w:proofErr w:type="spellEnd"/>
      <w:r w:rsidRPr="00CF6E45">
        <w:rPr>
          <w:rFonts w:ascii="Georgia" w:hAnsi="Georgia"/>
          <w:sz w:val="22"/>
        </w:rPr>
        <w:t xml:space="preserve"> from exercising set-off.</w:t>
      </w:r>
    </w:p>
    <w:p w14:paraId="41233896" w14:textId="77777777" w:rsidR="008D19E8"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Clauses 2</w:t>
      </w:r>
      <w:r w:rsidR="0087184C" w:rsidRPr="00CF6E45">
        <w:rPr>
          <w:rFonts w:ascii="Georgia" w:hAnsi="Georgia"/>
          <w:sz w:val="22"/>
          <w:u w:val="single"/>
        </w:rPr>
        <w:t>3</w:t>
      </w:r>
      <w:r w:rsidRPr="00CF6E45">
        <w:rPr>
          <w:rFonts w:ascii="Georgia" w:hAnsi="Georgia"/>
          <w:sz w:val="22"/>
          <w:u w:val="single"/>
        </w:rPr>
        <w:t xml:space="preserve"> - 2</w:t>
      </w:r>
      <w:r w:rsidR="0087184C" w:rsidRPr="00CF6E45">
        <w:rPr>
          <w:rFonts w:ascii="Georgia" w:hAnsi="Georgia"/>
          <w:sz w:val="22"/>
          <w:u w:val="single"/>
        </w:rPr>
        <w:t>9</w:t>
      </w:r>
      <w:r w:rsidRPr="00CF6E45">
        <w:rPr>
          <w:rFonts w:ascii="Georgia" w:hAnsi="Georgia"/>
          <w:sz w:val="22"/>
          <w:u w:val="single"/>
        </w:rPr>
        <w:t>: Standard Provisions</w:t>
      </w:r>
    </w:p>
    <w:p w14:paraId="7F3EA163" w14:textId="77777777" w:rsidR="008D19E8" w:rsidRPr="00CF6E45" w:rsidRDefault="00C425A1" w:rsidP="007F48A5">
      <w:pPr>
        <w:pStyle w:val="Level3Number"/>
        <w:numPr>
          <w:ilvl w:val="0"/>
          <w:numId w:val="0"/>
        </w:numPr>
        <w:spacing w:line="276" w:lineRule="auto"/>
        <w:ind w:left="720"/>
        <w:rPr>
          <w:rFonts w:ascii="Georgia" w:hAnsi="Georgia"/>
          <w:sz w:val="22"/>
        </w:rPr>
      </w:pPr>
      <w:bookmarkStart w:id="14" w:name="_Hlk221786979"/>
      <w:bookmarkStart w:id="15" w:name="_Hlk221712665"/>
      <w:r w:rsidRPr="00CF6E45">
        <w:rPr>
          <w:rFonts w:ascii="Georgia" w:hAnsi="Georgia"/>
          <w:b/>
          <w:sz w:val="22"/>
        </w:rPr>
        <w:t>Purpose</w:t>
      </w:r>
      <w:r w:rsidRPr="00CF6E45">
        <w:rPr>
          <w:rFonts w:ascii="Georgia" w:hAnsi="Georgia"/>
          <w:sz w:val="22"/>
        </w:rPr>
        <w:t>: Clauses 2</w:t>
      </w:r>
      <w:r w:rsidR="00780EF5" w:rsidRPr="00CF6E45">
        <w:rPr>
          <w:rFonts w:ascii="Georgia" w:hAnsi="Georgia"/>
          <w:sz w:val="22"/>
        </w:rPr>
        <w:t>3</w:t>
      </w:r>
      <w:r w:rsidRPr="00CF6E45">
        <w:rPr>
          <w:rFonts w:ascii="Georgia" w:hAnsi="Georgia"/>
          <w:sz w:val="22"/>
        </w:rPr>
        <w:t xml:space="preserve"> - 2</w:t>
      </w:r>
      <w:r w:rsidR="00780EF5" w:rsidRPr="00CF6E45">
        <w:rPr>
          <w:rFonts w:ascii="Georgia" w:hAnsi="Georgia"/>
          <w:sz w:val="22"/>
        </w:rPr>
        <w:t>9</w:t>
      </w:r>
      <w:r w:rsidRPr="00CF6E45">
        <w:rPr>
          <w:rFonts w:ascii="Georgia" w:hAnsi="Georgia"/>
          <w:sz w:val="22"/>
        </w:rPr>
        <w:t xml:space="preserve"> contain standard 'boilerplate' provisions that are common to most commercial contracts and govern important procedural and administrative matters such as how the </w:t>
      </w:r>
      <w:r w:rsidR="00780EF5" w:rsidRPr="00CF6E45">
        <w:rPr>
          <w:rFonts w:ascii="Georgia" w:hAnsi="Georgia"/>
          <w:sz w:val="22"/>
        </w:rPr>
        <w:t>Share Pledge</w:t>
      </w:r>
      <w:r w:rsidRPr="00CF6E45">
        <w:rPr>
          <w:rFonts w:ascii="Georgia" w:hAnsi="Georgia"/>
          <w:sz w:val="22"/>
        </w:rPr>
        <w:t xml:space="preserve"> can be varied, how notices must be served, and which governing law applies to the contract.</w:t>
      </w:r>
    </w:p>
    <w:p w14:paraId="20C25D6F" w14:textId="77777777" w:rsidR="008D19E8" w:rsidRPr="00CF6E45" w:rsidRDefault="00C425A1" w:rsidP="007F48A5">
      <w:pPr>
        <w:pStyle w:val="Level3Number"/>
        <w:numPr>
          <w:ilvl w:val="0"/>
          <w:numId w:val="0"/>
        </w:numPr>
        <w:spacing w:line="276" w:lineRule="auto"/>
        <w:ind w:firstLine="720"/>
        <w:rPr>
          <w:rFonts w:ascii="Georgia" w:hAnsi="Georgia"/>
          <w:sz w:val="22"/>
        </w:rPr>
      </w:pPr>
      <w:r w:rsidRPr="00CF6E45">
        <w:rPr>
          <w:rFonts w:ascii="Georgia" w:hAnsi="Georgia"/>
          <w:b/>
          <w:sz w:val="22"/>
        </w:rPr>
        <w:t>Action Required:</w:t>
      </w:r>
    </w:p>
    <w:bookmarkEnd w:id="14"/>
    <w:p w14:paraId="219E8ED0" w14:textId="77777777" w:rsidR="00636A41" w:rsidRPr="00CF6E45" w:rsidRDefault="00C425A1" w:rsidP="007F48A5">
      <w:pPr>
        <w:pStyle w:val="Level4Number"/>
        <w:numPr>
          <w:ilvl w:val="0"/>
          <w:numId w:val="27"/>
        </w:numPr>
        <w:spacing w:line="276" w:lineRule="auto"/>
        <w:rPr>
          <w:rFonts w:ascii="Georgia" w:hAnsi="Georgia"/>
          <w:sz w:val="22"/>
        </w:rPr>
      </w:pPr>
      <w:r w:rsidRPr="00CF6E45">
        <w:rPr>
          <w:rFonts w:ascii="Georgia" w:hAnsi="Georgia"/>
          <w:sz w:val="22"/>
        </w:rPr>
        <w:t>Complete the addresses, email addresses and contacts for service of Notices for the parties (clause 2</w:t>
      </w:r>
      <w:r w:rsidR="00780EF5" w:rsidRPr="00CF6E45">
        <w:rPr>
          <w:rFonts w:ascii="Georgia" w:hAnsi="Georgia"/>
          <w:sz w:val="22"/>
        </w:rPr>
        <w:t>8</w:t>
      </w:r>
      <w:r w:rsidRPr="00CF6E45">
        <w:rPr>
          <w:rFonts w:ascii="Georgia" w:hAnsi="Georgia"/>
          <w:sz w:val="22"/>
        </w:rPr>
        <w:t xml:space="preserve"> - Notices).</w:t>
      </w:r>
    </w:p>
    <w:p w14:paraId="6D9243A7" w14:textId="7069B055" w:rsidR="008D19E8" w:rsidRPr="00CF6E45" w:rsidRDefault="00C425A1" w:rsidP="007F48A5">
      <w:pPr>
        <w:pStyle w:val="Level4Number"/>
        <w:numPr>
          <w:ilvl w:val="0"/>
          <w:numId w:val="27"/>
        </w:numPr>
        <w:spacing w:line="276" w:lineRule="auto"/>
        <w:rPr>
          <w:rFonts w:ascii="Georgia" w:hAnsi="Georgia"/>
          <w:sz w:val="22"/>
        </w:rPr>
      </w:pPr>
      <w:r w:rsidRPr="00CF6E45">
        <w:rPr>
          <w:rFonts w:ascii="Georgia" w:hAnsi="Georgia"/>
          <w:sz w:val="22"/>
        </w:rPr>
        <w:t xml:space="preserve">Confirm </w:t>
      </w:r>
      <w:r w:rsidR="00780EF5" w:rsidRPr="00CF6E45">
        <w:rPr>
          <w:rFonts w:ascii="Georgia" w:hAnsi="Georgia"/>
          <w:sz w:val="22"/>
        </w:rPr>
        <w:t>Scots</w:t>
      </w:r>
      <w:r w:rsidR="00C167AF" w:rsidRPr="00CF6E45">
        <w:rPr>
          <w:rFonts w:ascii="Georgia" w:hAnsi="Georgia"/>
          <w:sz w:val="22"/>
        </w:rPr>
        <w:t xml:space="preserve"> </w:t>
      </w:r>
      <w:r w:rsidRPr="00CF6E45">
        <w:rPr>
          <w:rFonts w:ascii="Georgia" w:hAnsi="Georgia"/>
          <w:sz w:val="22"/>
        </w:rPr>
        <w:t xml:space="preserve">law and jurisdiction are appropriate </w:t>
      </w:r>
      <w:r w:rsidR="00C167AF" w:rsidRPr="00CF6E45">
        <w:rPr>
          <w:rFonts w:ascii="Georgia" w:hAnsi="Georgia"/>
          <w:sz w:val="22"/>
        </w:rPr>
        <w:t>(</w:t>
      </w:r>
      <w:r w:rsidR="00B15CF4" w:rsidRPr="00CF6E45">
        <w:rPr>
          <w:rFonts w:ascii="Georgia" w:hAnsi="Georgia"/>
          <w:sz w:val="22"/>
        </w:rPr>
        <w:t>i.e.</w:t>
      </w:r>
      <w:r w:rsidR="00C167AF" w:rsidRPr="00CF6E45">
        <w:rPr>
          <w:rFonts w:ascii="Georgia" w:hAnsi="Georgia"/>
          <w:sz w:val="22"/>
        </w:rPr>
        <w:t xml:space="preserve"> are the Shares in a Scottish company / is the Borrower incorporated in Scotland) </w:t>
      </w:r>
      <w:r w:rsidRPr="00CF6E45">
        <w:rPr>
          <w:rFonts w:ascii="Georgia" w:hAnsi="Georgia"/>
          <w:sz w:val="22"/>
        </w:rPr>
        <w:t>and verify that this aligns with the underlying contract (clause 2</w:t>
      </w:r>
      <w:r w:rsidR="00780EF5" w:rsidRPr="00CF6E45">
        <w:rPr>
          <w:rFonts w:ascii="Georgia" w:hAnsi="Georgia"/>
          <w:sz w:val="22"/>
        </w:rPr>
        <w:t>9</w:t>
      </w:r>
      <w:r w:rsidRPr="00CF6E45">
        <w:rPr>
          <w:rFonts w:ascii="Georgia" w:hAnsi="Georgia"/>
          <w:sz w:val="22"/>
        </w:rPr>
        <w:t xml:space="preserve"> - Governing Law and Jurisdiction).</w:t>
      </w:r>
    </w:p>
    <w:bookmarkEnd w:id="15"/>
    <w:p w14:paraId="1F3A5F39"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Clause 2</w:t>
      </w:r>
      <w:r w:rsidR="00780EF5" w:rsidRPr="00CF6E45">
        <w:rPr>
          <w:rFonts w:ascii="Georgia" w:hAnsi="Georgia"/>
          <w:b/>
          <w:sz w:val="22"/>
        </w:rPr>
        <w:t>3</w:t>
      </w:r>
      <w:r w:rsidRPr="00CF6E45">
        <w:rPr>
          <w:rFonts w:ascii="Georgia" w:hAnsi="Georgia"/>
          <w:b/>
          <w:sz w:val="22"/>
        </w:rPr>
        <w:t xml:space="preserve"> - Amendments, Waivers and Consents</w:t>
      </w:r>
      <w:r w:rsidRPr="00CF6E45">
        <w:rPr>
          <w:rFonts w:ascii="Georgia" w:hAnsi="Georgia"/>
          <w:sz w:val="22"/>
        </w:rPr>
        <w:t>: Amendments must be in writing and signed by each party. Waivers and consents are only effective if in writing. Failure to exercise a right does not constitute waiver. Rights are cumulative.</w:t>
      </w:r>
    </w:p>
    <w:p w14:paraId="1D63C36F"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Clause 2</w:t>
      </w:r>
      <w:r w:rsidR="00780EF5" w:rsidRPr="00CF6E45">
        <w:rPr>
          <w:rFonts w:ascii="Georgia" w:hAnsi="Georgia"/>
          <w:b/>
          <w:sz w:val="22"/>
        </w:rPr>
        <w:t>4</w:t>
      </w:r>
      <w:r w:rsidRPr="00CF6E45">
        <w:rPr>
          <w:rFonts w:ascii="Georgia" w:hAnsi="Georgia"/>
          <w:b/>
          <w:sz w:val="22"/>
        </w:rPr>
        <w:t xml:space="preserve"> - Partial invalidity</w:t>
      </w:r>
      <w:r w:rsidRPr="00CF6E45">
        <w:rPr>
          <w:rFonts w:ascii="Georgia" w:hAnsi="Georgia"/>
          <w:sz w:val="22"/>
        </w:rPr>
        <w:t xml:space="preserve">: If any provision of the Share </w:t>
      </w:r>
      <w:r w:rsidR="00D00162" w:rsidRPr="00CF6E45">
        <w:rPr>
          <w:rFonts w:ascii="Georgia" w:hAnsi="Georgia"/>
          <w:sz w:val="22"/>
        </w:rPr>
        <w:t xml:space="preserve">Pledge </w:t>
      </w:r>
      <w:r w:rsidRPr="00CF6E45">
        <w:rPr>
          <w:rFonts w:ascii="Georgia" w:hAnsi="Georgia"/>
          <w:sz w:val="22"/>
        </w:rPr>
        <w:t>is prohibited, unenforceable or not authorised, such provision shall be ineffective only to the extent of such prohibition, unenforceability or non-authorisation without invalidating the remaining provisions.</w:t>
      </w:r>
    </w:p>
    <w:p w14:paraId="174D35DE"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Clause 2</w:t>
      </w:r>
      <w:r w:rsidR="00780EF5" w:rsidRPr="00CF6E45">
        <w:rPr>
          <w:rFonts w:ascii="Georgia" w:hAnsi="Georgia"/>
          <w:b/>
          <w:sz w:val="22"/>
        </w:rPr>
        <w:t>5</w:t>
      </w:r>
      <w:r w:rsidRPr="00CF6E45">
        <w:rPr>
          <w:rFonts w:ascii="Georgia" w:hAnsi="Georgia"/>
          <w:b/>
          <w:sz w:val="22"/>
        </w:rPr>
        <w:t xml:space="preserve"> - Counterparts</w:t>
      </w:r>
      <w:r w:rsidRPr="00CF6E45">
        <w:rPr>
          <w:rFonts w:ascii="Georgia" w:hAnsi="Georgia"/>
          <w:sz w:val="22"/>
        </w:rPr>
        <w:t>: This provision allows execution in counterpart, with effectiveness conditional on all parties delivering executed counterparts. This facilitates execution when parties cannot meet in person.</w:t>
      </w:r>
    </w:p>
    <w:p w14:paraId="08185680" w14:textId="77777777" w:rsidR="008D19E8" w:rsidRPr="00CF6E45" w:rsidRDefault="00C425A1" w:rsidP="007F48A5">
      <w:pPr>
        <w:pStyle w:val="Level3Number"/>
        <w:numPr>
          <w:ilvl w:val="0"/>
          <w:numId w:val="0"/>
        </w:numPr>
        <w:spacing w:line="276" w:lineRule="auto"/>
        <w:ind w:left="720"/>
        <w:rPr>
          <w:rFonts w:ascii="Georgia" w:hAnsi="Georgia"/>
          <w:b/>
          <w:bCs/>
          <w:sz w:val="22"/>
        </w:rPr>
      </w:pPr>
      <w:r w:rsidRPr="00CF6E45">
        <w:rPr>
          <w:rFonts w:ascii="Georgia" w:hAnsi="Georgia"/>
          <w:b/>
          <w:sz w:val="22"/>
        </w:rPr>
        <w:t>Clause 2</w:t>
      </w:r>
      <w:r w:rsidR="00780EF5" w:rsidRPr="00CF6E45">
        <w:rPr>
          <w:rFonts w:ascii="Georgia" w:hAnsi="Georgia"/>
          <w:b/>
          <w:sz w:val="22"/>
        </w:rPr>
        <w:t>6</w:t>
      </w:r>
      <w:r w:rsidRPr="00CF6E45">
        <w:rPr>
          <w:rFonts w:ascii="Georgia" w:hAnsi="Georgia"/>
          <w:b/>
          <w:sz w:val="22"/>
        </w:rPr>
        <w:t xml:space="preserve"> - Third Party Rights</w:t>
      </w:r>
      <w:r w:rsidRPr="00CF6E45">
        <w:rPr>
          <w:rFonts w:ascii="Georgia" w:hAnsi="Georgia"/>
          <w:sz w:val="22"/>
        </w:rPr>
        <w:t xml:space="preserve">: This clause excludes third-party enforcement rights under the </w:t>
      </w:r>
      <w:r w:rsidR="00D00162" w:rsidRPr="00CF6E45">
        <w:rPr>
          <w:rFonts w:ascii="Georgia" w:hAnsi="Georgia"/>
          <w:sz w:val="22"/>
        </w:rPr>
        <w:t>Contract (Third Party Rights) (Scotland) Act 2017</w:t>
      </w:r>
      <w:r w:rsidRPr="00CF6E45">
        <w:rPr>
          <w:rFonts w:ascii="Georgia" w:hAnsi="Georgia"/>
          <w:sz w:val="22"/>
        </w:rPr>
        <w:t xml:space="preserve">, except as expressly provided. This prevents unintended third parties from having rights under the Share </w:t>
      </w:r>
      <w:r w:rsidR="00D00162" w:rsidRPr="00CF6E45">
        <w:rPr>
          <w:rFonts w:ascii="Georgia" w:hAnsi="Georgia"/>
          <w:sz w:val="22"/>
        </w:rPr>
        <w:t>Pledge</w:t>
      </w:r>
      <w:r w:rsidRPr="00CF6E45">
        <w:rPr>
          <w:rFonts w:ascii="Georgia" w:hAnsi="Georgia"/>
          <w:sz w:val="22"/>
        </w:rPr>
        <w:t xml:space="preserve">. </w:t>
      </w:r>
    </w:p>
    <w:p w14:paraId="28BB1F9A"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Clause 2</w:t>
      </w:r>
      <w:r w:rsidR="00780EF5" w:rsidRPr="00CF6E45">
        <w:rPr>
          <w:rFonts w:ascii="Georgia" w:hAnsi="Georgia"/>
          <w:b/>
          <w:sz w:val="22"/>
        </w:rPr>
        <w:t>7</w:t>
      </w:r>
      <w:r w:rsidRPr="00CF6E45">
        <w:rPr>
          <w:rFonts w:ascii="Georgia" w:hAnsi="Georgia"/>
          <w:b/>
          <w:sz w:val="22"/>
        </w:rPr>
        <w:t>.1 - Independent Security</w:t>
      </w:r>
      <w:r w:rsidRPr="00CF6E45">
        <w:rPr>
          <w:rFonts w:ascii="Georgia" w:hAnsi="Georgia"/>
          <w:sz w:val="22"/>
        </w:rPr>
        <w:t xml:space="preserve">: </w:t>
      </w:r>
      <w:r w:rsidR="00D00162" w:rsidRPr="00CF6E45">
        <w:rPr>
          <w:rFonts w:ascii="Georgia" w:hAnsi="Georgia"/>
          <w:sz w:val="22"/>
        </w:rPr>
        <w:t>The Share Pledge</w:t>
      </w:r>
      <w:r w:rsidRPr="00CF6E45">
        <w:rPr>
          <w:rFonts w:ascii="Georgia" w:hAnsi="Georgia"/>
          <w:sz w:val="22"/>
        </w:rPr>
        <w:t xml:space="preserve"> is additional to and independent of any other security.</w:t>
      </w:r>
    </w:p>
    <w:p w14:paraId="2DB82C24"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Clause 2</w:t>
      </w:r>
      <w:r w:rsidR="00780EF5" w:rsidRPr="00CF6E45">
        <w:rPr>
          <w:rFonts w:ascii="Georgia" w:hAnsi="Georgia"/>
          <w:b/>
          <w:sz w:val="22"/>
        </w:rPr>
        <w:t>7</w:t>
      </w:r>
      <w:r w:rsidRPr="00CF6E45">
        <w:rPr>
          <w:rFonts w:ascii="Georgia" w:hAnsi="Georgia"/>
          <w:b/>
          <w:sz w:val="22"/>
        </w:rPr>
        <w:t>.2 - Continuing Security</w:t>
      </w:r>
      <w:r w:rsidRPr="00CF6E45">
        <w:rPr>
          <w:rFonts w:ascii="Georgia" w:hAnsi="Georgia"/>
          <w:sz w:val="22"/>
        </w:rPr>
        <w:t xml:space="preserve">: </w:t>
      </w:r>
      <w:r w:rsidR="00D00162" w:rsidRPr="00CF6E45">
        <w:rPr>
          <w:rFonts w:ascii="Georgia" w:hAnsi="Georgia"/>
          <w:sz w:val="22"/>
        </w:rPr>
        <w:t xml:space="preserve">The Share Pledge </w:t>
      </w:r>
      <w:r w:rsidRPr="00CF6E45">
        <w:rPr>
          <w:rFonts w:ascii="Georgia" w:hAnsi="Georgia"/>
          <w:sz w:val="22"/>
        </w:rPr>
        <w:t>remains in force as continuing security despite any settlement or intermediate payment.</w:t>
      </w:r>
    </w:p>
    <w:p w14:paraId="0D8228B7"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Clause 2</w:t>
      </w:r>
      <w:r w:rsidR="00780EF5" w:rsidRPr="00CF6E45">
        <w:rPr>
          <w:rFonts w:ascii="Georgia" w:hAnsi="Georgia"/>
          <w:b/>
          <w:sz w:val="22"/>
        </w:rPr>
        <w:t>7</w:t>
      </w:r>
      <w:r w:rsidRPr="00CF6E45">
        <w:rPr>
          <w:rFonts w:ascii="Georgia" w:hAnsi="Georgia"/>
          <w:b/>
          <w:sz w:val="22"/>
        </w:rPr>
        <w:t>.3 - Discharge Conditional</w:t>
      </w:r>
      <w:r w:rsidRPr="00CF6E45">
        <w:rPr>
          <w:rFonts w:ascii="Georgia" w:hAnsi="Georgia"/>
          <w:sz w:val="22"/>
        </w:rPr>
        <w:t xml:space="preserve">: Any release is conditional on no payment being clawed back in insolvency. The Lender may retain the </w:t>
      </w:r>
      <w:r w:rsidR="00D00162" w:rsidRPr="00CF6E45">
        <w:rPr>
          <w:rFonts w:ascii="Georgia" w:hAnsi="Georgia"/>
          <w:sz w:val="22"/>
        </w:rPr>
        <w:t xml:space="preserve">Share Pledge </w:t>
      </w:r>
      <w:r w:rsidRPr="00CF6E45">
        <w:rPr>
          <w:rFonts w:ascii="Georgia" w:hAnsi="Georgia"/>
          <w:sz w:val="22"/>
        </w:rPr>
        <w:t xml:space="preserve">and all documents for any period necessary to protect against clawback </w:t>
      </w:r>
      <w:proofErr w:type="gramStart"/>
      <w:r w:rsidRPr="00CF6E45">
        <w:rPr>
          <w:rFonts w:ascii="Georgia" w:hAnsi="Georgia"/>
          <w:sz w:val="22"/>
        </w:rPr>
        <w:t>risk,</w:t>
      </w:r>
      <w:r w:rsidR="0087184C" w:rsidRPr="00CF6E45">
        <w:rPr>
          <w:rFonts w:ascii="Georgia" w:hAnsi="Georgia"/>
          <w:sz w:val="22"/>
        </w:rPr>
        <w:t xml:space="preserve"> </w:t>
      </w:r>
      <w:r w:rsidRPr="00CF6E45">
        <w:rPr>
          <w:rFonts w:ascii="Georgia" w:hAnsi="Georgia"/>
          <w:sz w:val="22"/>
        </w:rPr>
        <w:t>and</w:t>
      </w:r>
      <w:proofErr w:type="gramEnd"/>
      <w:r w:rsidRPr="00CF6E45">
        <w:rPr>
          <w:rFonts w:ascii="Georgia" w:hAnsi="Georgia"/>
          <w:sz w:val="22"/>
        </w:rPr>
        <w:t xml:space="preserve"> may recover amounts subsequently as if the release had not occurred.</w:t>
      </w:r>
    </w:p>
    <w:p w14:paraId="55609A78" w14:textId="77777777" w:rsidR="008D19E8" w:rsidRPr="00CF6E45" w:rsidRDefault="00C425A1" w:rsidP="00787F68">
      <w:pPr>
        <w:pStyle w:val="Level3Number"/>
        <w:numPr>
          <w:ilvl w:val="0"/>
          <w:numId w:val="0"/>
        </w:numPr>
        <w:spacing w:line="276" w:lineRule="auto"/>
        <w:ind w:left="720"/>
        <w:rPr>
          <w:rFonts w:ascii="Georgia" w:hAnsi="Georgia"/>
          <w:sz w:val="22"/>
        </w:rPr>
      </w:pPr>
      <w:r w:rsidRPr="00CF6E45">
        <w:rPr>
          <w:rFonts w:ascii="Georgia" w:hAnsi="Georgia"/>
          <w:b/>
          <w:sz w:val="22"/>
        </w:rPr>
        <w:lastRenderedPageBreak/>
        <w:t>Clause 2</w:t>
      </w:r>
      <w:r w:rsidR="00780EF5" w:rsidRPr="00CF6E45">
        <w:rPr>
          <w:rFonts w:ascii="Georgia" w:hAnsi="Georgia"/>
          <w:b/>
          <w:sz w:val="22"/>
        </w:rPr>
        <w:t>7</w:t>
      </w:r>
      <w:r w:rsidRPr="00CF6E45">
        <w:rPr>
          <w:rFonts w:ascii="Georgia" w:hAnsi="Georgia"/>
          <w:b/>
          <w:sz w:val="22"/>
        </w:rPr>
        <w:t>.4 - Certificates</w:t>
      </w:r>
      <w:r w:rsidRPr="00CF6E45">
        <w:rPr>
          <w:rFonts w:ascii="Georgia" w:hAnsi="Georgia"/>
          <w:sz w:val="22"/>
        </w:rPr>
        <w:t>: Certificates by the Lender are, absent manifest error, conclusive.</w:t>
      </w:r>
    </w:p>
    <w:p w14:paraId="7612CAF4"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Clause 2</w:t>
      </w:r>
      <w:r w:rsidR="00780EF5" w:rsidRPr="00CF6E45">
        <w:rPr>
          <w:rFonts w:ascii="Georgia" w:hAnsi="Georgia"/>
          <w:b/>
          <w:sz w:val="22"/>
        </w:rPr>
        <w:t>8</w:t>
      </w:r>
      <w:r w:rsidRPr="00CF6E45">
        <w:rPr>
          <w:rFonts w:ascii="Georgia" w:hAnsi="Georgia"/>
          <w:b/>
          <w:sz w:val="22"/>
        </w:rPr>
        <w:t xml:space="preserve"> - Notices</w:t>
      </w:r>
      <w:r w:rsidRPr="00CF6E45">
        <w:rPr>
          <w:rFonts w:ascii="Georgia" w:hAnsi="Georgia"/>
          <w:sz w:val="22"/>
        </w:rPr>
        <w:t xml:space="preserve">: </w:t>
      </w:r>
      <w:bookmarkStart w:id="16" w:name="_Hlk222310194"/>
      <w:r w:rsidRPr="00CF6E45">
        <w:rPr>
          <w:rFonts w:ascii="Georgia" w:hAnsi="Georgia"/>
          <w:sz w:val="22"/>
        </w:rPr>
        <w:t xml:space="preserve">These provisions establish comprehensive notice requirements, including methods of service (hand delivery, pre-paid first-class post, or email), deemed receipt times, and party contact details. Proper notice provisions are critical for enforcing rights (particularly making demands or exercising enforcement rights under the Share </w:t>
      </w:r>
      <w:r w:rsidR="00D00162" w:rsidRPr="00CF6E45">
        <w:rPr>
          <w:rFonts w:ascii="Georgia" w:hAnsi="Georgia"/>
          <w:sz w:val="22"/>
        </w:rPr>
        <w:t>Pledge</w:t>
      </w:r>
      <w:r w:rsidRPr="00CF6E45">
        <w:rPr>
          <w:rFonts w:ascii="Georgia" w:hAnsi="Georgia"/>
          <w:sz w:val="22"/>
        </w:rPr>
        <w:t>) and avoiding disputes over whether notice was validly given</w:t>
      </w:r>
      <w:bookmarkEnd w:id="16"/>
      <w:r w:rsidRPr="00CF6E45">
        <w:rPr>
          <w:rFonts w:ascii="Georgia" w:hAnsi="Georgia"/>
          <w:sz w:val="22"/>
        </w:rPr>
        <w:t>.</w:t>
      </w:r>
      <w:r w:rsidR="00D00162" w:rsidRPr="00CF6E45">
        <w:rPr>
          <w:rFonts w:ascii="Georgia" w:hAnsi="Georgia"/>
          <w:sz w:val="22"/>
        </w:rPr>
        <w:t xml:space="preserve"> </w:t>
      </w:r>
    </w:p>
    <w:p w14:paraId="4A00D8EB" w14:textId="77777777" w:rsidR="008D19E8"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sz w:val="22"/>
        </w:rPr>
        <w:t>Clause 2</w:t>
      </w:r>
      <w:r w:rsidR="00780EF5" w:rsidRPr="00CF6E45">
        <w:rPr>
          <w:rFonts w:ascii="Georgia" w:hAnsi="Georgia"/>
          <w:b/>
          <w:sz w:val="22"/>
        </w:rPr>
        <w:t>9</w:t>
      </w:r>
      <w:r w:rsidRPr="00CF6E45">
        <w:rPr>
          <w:rFonts w:ascii="Georgia" w:hAnsi="Georgia"/>
          <w:b/>
          <w:sz w:val="22"/>
        </w:rPr>
        <w:t xml:space="preserve"> - Governing Law and Jurisdiction</w:t>
      </w:r>
      <w:r w:rsidRPr="00CF6E45">
        <w:rPr>
          <w:rFonts w:ascii="Georgia" w:hAnsi="Georgia"/>
          <w:sz w:val="22"/>
        </w:rPr>
        <w:t xml:space="preserve">: These provisions establish the law of </w:t>
      </w:r>
      <w:r w:rsidR="00D00162" w:rsidRPr="00CF6E45">
        <w:rPr>
          <w:rFonts w:ascii="Georgia" w:hAnsi="Georgia"/>
          <w:sz w:val="22"/>
        </w:rPr>
        <w:t>Scotland</w:t>
      </w:r>
      <w:r w:rsidRPr="00CF6E45">
        <w:rPr>
          <w:rFonts w:ascii="Georgia" w:hAnsi="Georgia"/>
          <w:sz w:val="22"/>
        </w:rPr>
        <w:t xml:space="preserve"> as the governing law. This provides certainty on which law applies, preventing costly jurisdictional disputes.</w:t>
      </w:r>
      <w:bookmarkEnd w:id="2"/>
    </w:p>
    <w:p w14:paraId="1D8E86F7" w14:textId="0637BD3B" w:rsidR="00780EF5" w:rsidRPr="00CF6E45" w:rsidRDefault="00C425A1" w:rsidP="007F48A5">
      <w:pPr>
        <w:pStyle w:val="Level2Heading"/>
        <w:spacing w:line="276" w:lineRule="auto"/>
        <w:rPr>
          <w:rFonts w:ascii="Georgia" w:hAnsi="Georgia"/>
          <w:sz w:val="22"/>
          <w:u w:val="single"/>
        </w:rPr>
      </w:pPr>
      <w:r w:rsidRPr="00CF6E45">
        <w:rPr>
          <w:rFonts w:ascii="Georgia" w:hAnsi="Georgia"/>
          <w:sz w:val="22"/>
          <w:u w:val="single"/>
        </w:rPr>
        <w:t>Schedule</w:t>
      </w:r>
    </w:p>
    <w:p w14:paraId="7FDC722A" w14:textId="77777777" w:rsidR="0087184C" w:rsidRPr="00CF6E45" w:rsidRDefault="00C425A1" w:rsidP="007F48A5">
      <w:pPr>
        <w:pStyle w:val="Level3Number"/>
        <w:numPr>
          <w:ilvl w:val="0"/>
          <w:numId w:val="0"/>
        </w:numPr>
        <w:spacing w:line="276" w:lineRule="auto"/>
        <w:ind w:left="720"/>
        <w:rPr>
          <w:rFonts w:ascii="Georgia" w:hAnsi="Georgia"/>
          <w:sz w:val="22"/>
        </w:rPr>
      </w:pPr>
      <w:r w:rsidRPr="00CF6E45">
        <w:rPr>
          <w:rFonts w:ascii="Georgia" w:hAnsi="Georgia"/>
          <w:b/>
          <w:bCs/>
          <w:sz w:val="22"/>
        </w:rPr>
        <w:t xml:space="preserve">Purpose: </w:t>
      </w:r>
      <w:r w:rsidRPr="00CF6E45">
        <w:rPr>
          <w:rFonts w:ascii="Georgia" w:hAnsi="Georgia"/>
          <w:sz w:val="22"/>
        </w:rPr>
        <w:t xml:space="preserve">The Schedule identifies precisely those shares held by the </w:t>
      </w:r>
      <w:proofErr w:type="spellStart"/>
      <w:r w:rsidRPr="00CF6E45">
        <w:rPr>
          <w:rFonts w:ascii="Georgia" w:hAnsi="Georgia"/>
          <w:sz w:val="22"/>
        </w:rPr>
        <w:t>Chargor</w:t>
      </w:r>
      <w:proofErr w:type="spellEnd"/>
      <w:r w:rsidRPr="00CF6E45">
        <w:rPr>
          <w:rFonts w:ascii="Georgia" w:hAnsi="Georgia"/>
          <w:sz w:val="22"/>
        </w:rPr>
        <w:t xml:space="preserve"> at the date of the Share Pledge.</w:t>
      </w:r>
    </w:p>
    <w:p w14:paraId="4714BD8D" w14:textId="77777777" w:rsidR="00181E1F" w:rsidRPr="00CF6E45" w:rsidRDefault="00C425A1" w:rsidP="007F48A5">
      <w:pPr>
        <w:pStyle w:val="Level3Number"/>
        <w:numPr>
          <w:ilvl w:val="0"/>
          <w:numId w:val="0"/>
        </w:numPr>
        <w:spacing w:line="276" w:lineRule="auto"/>
        <w:ind w:left="1728" w:hanging="1008"/>
        <w:rPr>
          <w:rFonts w:ascii="Georgia" w:hAnsi="Georgia"/>
          <w:b/>
          <w:bCs/>
          <w:sz w:val="22"/>
        </w:rPr>
      </w:pPr>
      <w:r w:rsidRPr="00CF6E45">
        <w:rPr>
          <w:rFonts w:ascii="Georgia" w:hAnsi="Georgia"/>
          <w:b/>
          <w:bCs/>
          <w:sz w:val="22"/>
        </w:rPr>
        <w:t>Action Required</w:t>
      </w:r>
      <w:r w:rsidR="0087184C" w:rsidRPr="00CF6E45">
        <w:rPr>
          <w:rFonts w:ascii="Georgia" w:hAnsi="Georgia"/>
          <w:b/>
          <w:bCs/>
          <w:sz w:val="22"/>
        </w:rPr>
        <w:t>:</w:t>
      </w:r>
      <w:r w:rsidR="0087184C" w:rsidRPr="00CF6E45">
        <w:rPr>
          <w:rFonts w:ascii="Georgia" w:hAnsi="Georgia"/>
          <w:sz w:val="22"/>
        </w:rPr>
        <w:t xml:space="preserve"> </w:t>
      </w:r>
    </w:p>
    <w:p w14:paraId="693F1F82" w14:textId="77777777" w:rsidR="00636A41" w:rsidRPr="00CF6E45" w:rsidRDefault="00C425A1" w:rsidP="007F48A5">
      <w:pPr>
        <w:pStyle w:val="Level4Number"/>
        <w:numPr>
          <w:ilvl w:val="0"/>
          <w:numId w:val="28"/>
        </w:numPr>
        <w:spacing w:line="276" w:lineRule="auto"/>
        <w:rPr>
          <w:rFonts w:ascii="Georgia" w:hAnsi="Georgia"/>
          <w:b/>
          <w:bCs/>
          <w:sz w:val="22"/>
        </w:rPr>
      </w:pPr>
      <w:r w:rsidRPr="00CF6E45">
        <w:rPr>
          <w:rFonts w:ascii="Georgia" w:hAnsi="Georgia"/>
          <w:sz w:val="22"/>
        </w:rPr>
        <w:t xml:space="preserve">The details of the </w:t>
      </w:r>
      <w:proofErr w:type="spellStart"/>
      <w:r w:rsidRPr="00CF6E45">
        <w:rPr>
          <w:rFonts w:ascii="Georgia" w:hAnsi="Georgia"/>
          <w:sz w:val="22"/>
        </w:rPr>
        <w:t>Chargor</w:t>
      </w:r>
      <w:proofErr w:type="spellEnd"/>
      <w:r w:rsidRPr="00CF6E45">
        <w:rPr>
          <w:rFonts w:ascii="Georgia" w:hAnsi="Georgia"/>
          <w:sz w:val="22"/>
        </w:rPr>
        <w:t xml:space="preserve"> and the Lender must be completed at the head of the Schedule; and</w:t>
      </w:r>
    </w:p>
    <w:p w14:paraId="25D0B096" w14:textId="2D27C1B6" w:rsidR="0087184C" w:rsidRPr="00CF6E45" w:rsidRDefault="00C425A1" w:rsidP="007F48A5">
      <w:pPr>
        <w:pStyle w:val="Level4Number"/>
        <w:numPr>
          <w:ilvl w:val="0"/>
          <w:numId w:val="28"/>
        </w:numPr>
        <w:spacing w:line="276" w:lineRule="auto"/>
        <w:rPr>
          <w:rFonts w:ascii="Georgia" w:hAnsi="Georgia"/>
          <w:b/>
          <w:bCs/>
          <w:sz w:val="22"/>
        </w:rPr>
      </w:pPr>
      <w:r w:rsidRPr="00CF6E45">
        <w:rPr>
          <w:rFonts w:ascii="Georgia" w:hAnsi="Georgia"/>
          <w:sz w:val="22"/>
        </w:rPr>
        <w:t>The details of the Pledged Shares must also be completed in the table provided.</w:t>
      </w:r>
    </w:p>
    <w:sectPr w:rsidR="0087184C" w:rsidRPr="00CF6E45" w:rsidSect="00390251">
      <w:footerReference w:type="first" r:id="rId14"/>
      <w:pgSz w:w="11906" w:h="16838" w:code="9"/>
      <w:pgMar w:top="1440" w:right="1134" w:bottom="1440" w:left="1134" w:header="709" w:footer="709" w:gutter="0"/>
      <w:paperSrc w:first="260" w:other="26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D882CC" w14:textId="77777777" w:rsidR="00EA2908" w:rsidRDefault="00C425A1">
      <w:r>
        <w:separator/>
      </w:r>
    </w:p>
  </w:endnote>
  <w:endnote w:type="continuationSeparator" w:id="0">
    <w:p w14:paraId="09CC46C3" w14:textId="77777777" w:rsidR="00EA2908" w:rsidRDefault="00C425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91232" w14:textId="77777777" w:rsidR="008D19E8" w:rsidRDefault="008D19E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5627"/>
      <w:gridCol w:w="4015"/>
    </w:tblGrid>
    <w:tr w:rsidR="008C7653" w14:paraId="579CD6DF" w14:textId="77777777" w:rsidTr="003B794B">
      <w:sdt>
        <w:sdtPr>
          <w:alias w:val="BHDC Content"/>
          <w:tag w:val="2780BF3E42894F9DA811E9630B6B5E7ADOCID_FOOTER"/>
          <w:id w:val="190267584"/>
          <w:placeholder>
            <w:docPart w:val="368B526300AE4EB085524F57657D568B"/>
          </w:placeholder>
        </w:sdtPr>
        <w:sdtEndPr/>
        <w:sdtContent>
          <w:tc>
            <w:tcPr>
              <w:tcW w:w="2918" w:type="pct"/>
              <w:tcMar>
                <w:left w:w="0" w:type="dxa"/>
              </w:tcMar>
              <w:vAlign w:val="bottom"/>
            </w:tcPr>
            <w:p w14:paraId="7AD59DD1" w14:textId="77777777" w:rsidR="00A0424A" w:rsidRDefault="00C425A1" w:rsidP="00696C01">
              <w:pPr>
                <w:pStyle w:val="DocID"/>
              </w:pPr>
              <w:r>
                <w:t>83497082v2</w:t>
              </w:r>
            </w:p>
          </w:tc>
        </w:sdtContent>
      </w:sdt>
      <w:sdt>
        <w:sdtPr>
          <w:alias w:val="Outline Content"/>
          <w:tag w:val="F0F173BAF5C249289192933A0FE58A5A"/>
          <w:id w:val="1824156156"/>
          <w:placeholder>
            <w:docPart w:val="0AB5696A1D66436CBDA038D7CF239803"/>
          </w:placeholder>
          <w:showingPlcHdr/>
        </w:sdtPr>
        <w:sdtEndPr/>
        <w:sdtContent>
          <w:tc>
            <w:tcPr>
              <w:tcW w:w="2082" w:type="pct"/>
              <w:vAlign w:val="bottom"/>
            </w:tcPr>
            <w:p w14:paraId="701458BA" w14:textId="77777777" w:rsidR="00A0424A" w:rsidRDefault="00A0424A" w:rsidP="00A0424A">
              <w:pPr>
                <w:pStyle w:val="Classify"/>
              </w:pPr>
            </w:p>
          </w:tc>
        </w:sdtContent>
      </w:sdt>
    </w:tr>
  </w:tbl>
  <w:p w14:paraId="36EC1A3B" w14:textId="77777777" w:rsidR="00A0424A" w:rsidRPr="00E61713" w:rsidRDefault="00A0424A" w:rsidP="00A0424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5627"/>
      <w:gridCol w:w="4015"/>
    </w:tblGrid>
    <w:tr w:rsidR="008C7653" w14:paraId="7FBC9FB9" w14:textId="77777777" w:rsidTr="002E2D2E">
      <w:sdt>
        <w:sdtPr>
          <w:alias w:val="BHDC Content"/>
          <w:tag w:val="2780BF3E42894F9DA811E9630B6B5E7ADOCID_FOOTER"/>
          <w:id w:val="-1562253822"/>
          <w:placeholder>
            <w:docPart w:val="CFFAF42D103B42FF89AF5B1065F6CC6D"/>
          </w:placeholder>
        </w:sdtPr>
        <w:sdtEndPr/>
        <w:sdtContent>
          <w:tc>
            <w:tcPr>
              <w:tcW w:w="2918" w:type="pct"/>
              <w:tcMar>
                <w:left w:w="0" w:type="dxa"/>
              </w:tcMar>
              <w:vAlign w:val="bottom"/>
            </w:tcPr>
            <w:p w14:paraId="386ED3CD" w14:textId="77777777" w:rsidR="006375DF" w:rsidRPr="00AA2A3D" w:rsidRDefault="00C425A1" w:rsidP="00696C01">
              <w:pPr>
                <w:pStyle w:val="DocID"/>
              </w:pPr>
              <w:r>
                <w:t>83497082v2</w:t>
              </w:r>
            </w:p>
          </w:tc>
        </w:sdtContent>
      </w:sdt>
      <w:sdt>
        <w:sdtPr>
          <w:rPr>
            <w:color w:val="404040" w:themeColor="text1" w:themeTint="BF"/>
          </w:rPr>
          <w:alias w:val="Outline Content"/>
          <w:tag w:val="F0F173BAF5C249289192933A0FE58A5A"/>
          <w:id w:val="-1590387019"/>
          <w:placeholder>
            <w:docPart w:val="737933B3578C46E6BCC6999EF745FF1D"/>
          </w:placeholder>
        </w:sdtPr>
        <w:sdtEndPr/>
        <w:sdtContent>
          <w:tc>
            <w:tcPr>
              <w:tcW w:w="2082" w:type="pct"/>
              <w:vAlign w:val="bottom"/>
            </w:tcPr>
            <w:p w14:paraId="0EC03BA3" w14:textId="77777777" w:rsidR="006375DF" w:rsidRPr="00AA2A3D" w:rsidRDefault="00C425A1" w:rsidP="008C164B">
              <w:pPr>
                <w:pStyle w:val="Classify"/>
                <w:rPr>
                  <w:color w:val="404040" w:themeColor="text1" w:themeTint="BF"/>
                </w:rPr>
              </w:pPr>
              <w:r>
                <w:rPr>
                  <w:noProof/>
                  <w:color w:val="404040" w:themeColor="text1" w:themeTint="BF"/>
                </w:rPr>
                <w:drawing>
                  <wp:inline distT="0" distB="0" distL="0" distR="0" wp14:anchorId="7446142A" wp14:editId="3F808439">
                    <wp:extent cx="1371600" cy="1296785"/>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Brodies.jpg"/>
                            <pic:cNvPicPr/>
                          </pic:nvPicPr>
                          <pic:blipFill>
                            <a:blip r:embed="rId1">
                              <a:extLst>
                                <a:ext uri="{28A0092B-C50C-407E-A947-70E740481C1C}">
                                  <a14:useLocalDpi xmlns:a14="http://schemas.microsoft.com/office/drawing/2010/main" val="0"/>
                                </a:ext>
                              </a:extLst>
                            </a:blip>
                            <a:stretch>
                              <a:fillRect/>
                            </a:stretch>
                          </pic:blipFill>
                          <pic:spPr>
                            <a:xfrm>
                              <a:off x="0" y="0"/>
                              <a:ext cx="1371600" cy="1296785"/>
                            </a:xfrm>
                            <a:prstGeom prst="rect">
                              <a:avLst/>
                            </a:prstGeom>
                          </pic:spPr>
                        </pic:pic>
                      </a:graphicData>
                    </a:graphic>
                  </wp:inline>
                </w:drawing>
              </w:r>
            </w:p>
          </w:tc>
        </w:sdtContent>
      </w:sdt>
    </w:tr>
  </w:tbl>
  <w:p w14:paraId="02486F4D" w14:textId="77777777" w:rsidR="006375DF" w:rsidRDefault="006375DF" w:rsidP="006375D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500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13" w:type="dxa"/>
        <w:right w:w="113" w:type="dxa"/>
      </w:tblCellMar>
      <w:tblLook w:val="04A0" w:firstRow="1" w:lastRow="0" w:firstColumn="1" w:lastColumn="0" w:noHBand="0" w:noVBand="1"/>
    </w:tblPr>
    <w:tblGrid>
      <w:gridCol w:w="5627"/>
      <w:gridCol w:w="4015"/>
    </w:tblGrid>
    <w:tr w:rsidR="008C7653" w14:paraId="3CAF5E25" w14:textId="77777777" w:rsidTr="002E2D2E">
      <w:sdt>
        <w:sdtPr>
          <w:alias w:val="BHDC Content"/>
          <w:tag w:val="2780BF3E42894F9DA811E9630B6B5E7ADOCID_FOOTER"/>
          <w:id w:val="431638520"/>
          <w:placeholder>
            <w:docPart w:val="2080F82823214D4CB570A5D589B7DA30"/>
          </w:placeholder>
        </w:sdtPr>
        <w:sdtEndPr/>
        <w:sdtContent>
          <w:tc>
            <w:tcPr>
              <w:tcW w:w="2918" w:type="pct"/>
              <w:tcMar>
                <w:left w:w="0" w:type="dxa"/>
              </w:tcMar>
              <w:vAlign w:val="bottom"/>
            </w:tcPr>
            <w:p w14:paraId="21CC5D74" w14:textId="77777777" w:rsidR="00A0424A" w:rsidRPr="00AA2A3D" w:rsidRDefault="00C425A1" w:rsidP="00696C01">
              <w:pPr>
                <w:pStyle w:val="DocID"/>
              </w:pPr>
              <w:r>
                <w:t>83497082v2</w:t>
              </w:r>
            </w:p>
          </w:tc>
        </w:sdtContent>
      </w:sdt>
      <w:tc>
        <w:tcPr>
          <w:tcW w:w="2082" w:type="pct"/>
          <w:vAlign w:val="bottom"/>
        </w:tcPr>
        <w:p w14:paraId="3829F52C" w14:textId="77777777" w:rsidR="00A0424A" w:rsidRPr="00AA2A3D" w:rsidRDefault="00A0424A" w:rsidP="008C164B">
          <w:pPr>
            <w:pStyle w:val="Classify"/>
            <w:rPr>
              <w:color w:val="404040" w:themeColor="text1" w:themeTint="BF"/>
            </w:rPr>
          </w:pPr>
        </w:p>
      </w:tc>
    </w:tr>
  </w:tbl>
  <w:p w14:paraId="2EBB7E05" w14:textId="77777777" w:rsidR="00A0424A" w:rsidRDefault="00A0424A" w:rsidP="006375D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EF0CB" w14:textId="77777777" w:rsidR="00EA2908" w:rsidRDefault="00C425A1">
      <w:r>
        <w:separator/>
      </w:r>
    </w:p>
  </w:footnote>
  <w:footnote w:type="continuationSeparator" w:id="0">
    <w:p w14:paraId="00555902" w14:textId="77777777" w:rsidR="00EA2908" w:rsidRDefault="00C425A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546B5" w14:textId="77777777" w:rsidR="00C14350" w:rsidRDefault="00AA770E">
    <w:pPr>
      <w:pStyle w:val="Header"/>
    </w:pPr>
    <w:r>
      <w:rPr>
        <w:noProof/>
      </w:rPr>
      <w:pict w14:anchorId="293BC01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466249" o:spid="_x0000_s2049" type="#_x0000_t136" style="position:absolute;left:0;text-align:left;margin-left:0;margin-top:0;width:454.5pt;height:181.8pt;rotation:315;z-index:-251658752;mso-position-horizontal:center;mso-position-horizontal-relative:margin;mso-position-vertical:center;mso-position-vertical-relative:margin" o:allowincell="f" fillcolor="#a5a5a5" stroked="f">
          <v:textpath style="font-family:&quot;Arial&quot;;font-size:1pt" string="COPY"/>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3817BD" w14:textId="77777777" w:rsidR="00A0424A" w:rsidRDefault="00A0424A" w:rsidP="00A0424A">
    <w:pPr>
      <w:jc w:val="right"/>
    </w:pPr>
  </w:p>
  <w:sdt>
    <w:sdtPr>
      <w:id w:val="-1247887227"/>
      <w:docPartObj>
        <w:docPartGallery w:val="Page Numbers (Top of Page)"/>
        <w:docPartUnique/>
      </w:docPartObj>
    </w:sdtPr>
    <w:sdtEndPr>
      <w:rPr>
        <w:noProof/>
      </w:rPr>
    </w:sdtEndPr>
    <w:sdtContent>
      <w:p w14:paraId="21F371B2" w14:textId="77777777" w:rsidR="00A0424A" w:rsidRDefault="00C425A1" w:rsidP="00A0424A">
        <w:pPr>
          <w:jc w:val="right"/>
        </w:pPr>
        <w:r>
          <w:fldChar w:fldCharType="begin"/>
        </w:r>
        <w:r>
          <w:instrText xml:space="preserve"> PAGE   \* MERGEFORMAT </w:instrText>
        </w:r>
        <w:r>
          <w:fldChar w:fldCharType="separate"/>
        </w:r>
        <w:r>
          <w:t>15</w:t>
        </w:r>
        <w:r>
          <w:rPr>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B4C9EC" w14:textId="77777777" w:rsidR="008D19E8" w:rsidRDefault="008D19E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A1AD63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4AAB724"/>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BCCBE0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F346C3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F9C486A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62802E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D9CB51A"/>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BCEF96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D8CD8B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9014B83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B6314D7"/>
    <w:multiLevelType w:val="hybridMultilevel"/>
    <w:tmpl w:val="3EA842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450007C"/>
    <w:multiLevelType w:val="hybridMultilevel"/>
    <w:tmpl w:val="6CE030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2" w15:restartNumberingAfterBreak="0">
    <w:nsid w:val="16057797"/>
    <w:multiLevelType w:val="multilevel"/>
    <w:tmpl w:val="0809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3" w15:restartNumberingAfterBreak="0">
    <w:nsid w:val="290E406E"/>
    <w:multiLevelType w:val="hybridMultilevel"/>
    <w:tmpl w:val="1C30C16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4" w15:restartNumberingAfterBreak="0">
    <w:nsid w:val="36B16431"/>
    <w:multiLevelType w:val="multilevel"/>
    <w:tmpl w:val="7FF41232"/>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bullet"/>
      <w:lvlText w:val=""/>
      <w:lvlJc w:val="left"/>
      <w:pPr>
        <w:ind w:left="1440" w:hanging="360"/>
      </w:pPr>
      <w:rPr>
        <w:rFonts w:ascii="Symbol" w:hAnsi="Symbol" w:hint="default"/>
      </w:rPr>
    </w:lvl>
    <w:lvl w:ilvl="3">
      <w:start w:val="1"/>
      <w:numFmt w:val="bullet"/>
      <w:lvlText w:val=""/>
      <w:lvlJc w:val="left"/>
      <w:pPr>
        <w:ind w:left="2088" w:hanging="360"/>
      </w:pPr>
      <w:rPr>
        <w:rFonts w:ascii="Symbol" w:hAnsi="Symbol" w:hint="default"/>
      </w:rPr>
    </w:lvl>
    <w:lvl w:ilvl="4">
      <w:start w:val="1"/>
      <w:numFmt w:val="decimal"/>
      <w:lvlText w:val="%1.%2.%3.%4.%5"/>
      <w:lvlJc w:val="left"/>
      <w:pPr>
        <w:tabs>
          <w:tab w:val="num" w:pos="4320"/>
        </w:tabs>
        <w:ind w:left="1440" w:firstLine="1440"/>
      </w:pPr>
      <w:rPr>
        <w:rFonts w:hint="default"/>
        <w:b w:val="0"/>
        <w:i w:val="0"/>
      </w:rPr>
    </w:lvl>
    <w:lvl w:ilvl="5">
      <w:start w:val="1"/>
      <w:numFmt w:val="lowerLetter"/>
      <w:lvlText w:val="(%6)"/>
      <w:lvlJc w:val="left"/>
      <w:pPr>
        <w:tabs>
          <w:tab w:val="num" w:pos="5760"/>
        </w:tabs>
        <w:ind w:left="5760" w:hanging="21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5" w15:restartNumberingAfterBreak="0">
    <w:nsid w:val="37B55DF4"/>
    <w:multiLevelType w:val="hybridMultilevel"/>
    <w:tmpl w:val="23A4959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3AF91ED5"/>
    <w:multiLevelType w:val="hybridMultilevel"/>
    <w:tmpl w:val="34D6881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3DAC3F75"/>
    <w:multiLevelType w:val="multilevel"/>
    <w:tmpl w:val="B8B6A82A"/>
    <w:styleLink w:val="NumberingMain"/>
    <w:lvl w:ilvl="0">
      <w:start w:val="1"/>
      <w:numFmt w:val="decimal"/>
      <w:lvlText w:val="%1"/>
      <w:lvlJc w:val="left"/>
      <w:pPr>
        <w:tabs>
          <w:tab w:val="num" w:pos="360"/>
        </w:tabs>
        <w:ind w:left="360" w:hanging="360"/>
      </w:pPr>
      <w:rPr>
        <w:rFonts w:hint="default"/>
        <w:b w:val="0"/>
        <w:i w:val="0"/>
      </w:rPr>
    </w:lvl>
    <w:lvl w:ilvl="1">
      <w:start w:val="1"/>
      <w:numFmt w:val="decimal"/>
      <w:lvlText w:val="%1.%2"/>
      <w:lvlJc w:val="left"/>
      <w:pPr>
        <w:tabs>
          <w:tab w:val="num" w:pos="720"/>
        </w:tabs>
        <w:ind w:left="720" w:hanging="720"/>
      </w:pPr>
      <w:rPr>
        <w:rFonts w:hint="default"/>
        <w:b w:val="0"/>
        <w:i w:val="0"/>
      </w:rPr>
    </w:lvl>
    <w:lvl w:ilvl="2">
      <w:start w:val="1"/>
      <w:numFmt w:val="decimal"/>
      <w:lvlText w:val="%1.%2.%3"/>
      <w:lvlJc w:val="left"/>
      <w:pPr>
        <w:tabs>
          <w:tab w:val="num" w:pos="1728"/>
        </w:tabs>
        <w:ind w:left="1728" w:hanging="720"/>
      </w:pPr>
      <w:rPr>
        <w:rFonts w:hint="default"/>
        <w:b w:val="0"/>
        <w:i w:val="0"/>
      </w:rPr>
    </w:lvl>
    <w:lvl w:ilvl="3">
      <w:start w:val="1"/>
      <w:numFmt w:val="decimal"/>
      <w:lvlText w:val="%1.%2.%3.%4"/>
      <w:lvlJc w:val="left"/>
      <w:pPr>
        <w:tabs>
          <w:tab w:val="num" w:pos="2880"/>
        </w:tabs>
        <w:ind w:left="2880" w:hanging="1152"/>
      </w:pPr>
      <w:rPr>
        <w:rFonts w:hint="default"/>
        <w:b w:val="0"/>
        <w:i w:val="0"/>
      </w:rPr>
    </w:lvl>
    <w:lvl w:ilvl="4">
      <w:start w:val="1"/>
      <w:numFmt w:val="decimal"/>
      <w:lvlText w:val="%1.%2.%3.%4.%5"/>
      <w:lvlJc w:val="left"/>
      <w:pPr>
        <w:tabs>
          <w:tab w:val="num" w:pos="4320"/>
        </w:tabs>
        <w:ind w:left="4320" w:hanging="1440"/>
      </w:pPr>
      <w:rPr>
        <w:rFonts w:hint="default"/>
        <w:b w:val="0"/>
        <w:i w:val="0"/>
      </w:rPr>
    </w:lvl>
    <w:lvl w:ilvl="5">
      <w:start w:val="1"/>
      <w:numFmt w:val="decimal"/>
      <w:lvlText w:val="%1.%2.%3.%4.%5.%6"/>
      <w:lvlJc w:val="left"/>
      <w:pPr>
        <w:ind w:left="2160" w:hanging="360"/>
      </w:pPr>
      <w:rPr>
        <w:rFonts w:hint="default"/>
        <w:b w:val="0"/>
        <w:i w:val="0"/>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18" w15:restartNumberingAfterBreak="0">
    <w:nsid w:val="413431C3"/>
    <w:multiLevelType w:val="multilevel"/>
    <w:tmpl w:val="0809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15:restartNumberingAfterBreak="0">
    <w:nsid w:val="4190728B"/>
    <w:multiLevelType w:val="hybridMultilevel"/>
    <w:tmpl w:val="1C7E76AA"/>
    <w:lvl w:ilvl="0" w:tplc="08090001">
      <w:start w:val="1"/>
      <w:numFmt w:val="bullet"/>
      <w:lvlText w:val=""/>
      <w:lvlJc w:val="left"/>
      <w:pPr>
        <w:ind w:left="1440" w:hanging="360"/>
      </w:pPr>
      <w:rPr>
        <w:rFonts w:ascii="Symbol" w:hAnsi="Symbol"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0" w15:restartNumberingAfterBreak="0">
    <w:nsid w:val="46BC5F92"/>
    <w:multiLevelType w:val="hybridMultilevel"/>
    <w:tmpl w:val="479822B0"/>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1" w15:restartNumberingAfterBreak="0">
    <w:nsid w:val="4B1C3F70"/>
    <w:multiLevelType w:val="multilevel"/>
    <w:tmpl w:val="08090023"/>
    <w:styleLink w:val="ArticleSection"/>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22" w15:restartNumberingAfterBreak="0">
    <w:nsid w:val="51B420A4"/>
    <w:multiLevelType w:val="multilevel"/>
    <w:tmpl w:val="7A6013E0"/>
    <w:styleLink w:val="NumberingSchedules"/>
    <w:lvl w:ilvl="0">
      <w:start w:val="1"/>
      <w:numFmt w:val="none"/>
      <w:suff w:val="nothing"/>
      <w:lvlText w:val="SCHEDULE"/>
      <w:lvlJc w:val="left"/>
      <w:pPr>
        <w:ind w:left="360" w:hanging="360"/>
      </w:pPr>
      <w:rPr>
        <w:rFonts w:hint="default"/>
        <w:b/>
        <w:i w:val="0"/>
      </w:rPr>
    </w:lvl>
    <w:lvl w:ilvl="1">
      <w:start w:val="1"/>
      <w:numFmt w:val="none"/>
      <w:suff w:val="nothing"/>
      <w:lvlText w:val="PART"/>
      <w:lvlJc w:val="left"/>
      <w:pPr>
        <w:ind w:left="360" w:hanging="360"/>
      </w:pPr>
      <w:rPr>
        <w:rFonts w:hint="default"/>
        <w:b/>
        <w:i w:val="0"/>
      </w:rPr>
    </w:lvl>
    <w:lvl w:ilvl="2">
      <w:start w:val="1"/>
      <w:numFmt w:val="decimal"/>
      <w:lvlText w:val="%3"/>
      <w:lvlJc w:val="left"/>
      <w:pPr>
        <w:ind w:left="360" w:hanging="360"/>
      </w:pPr>
      <w:rPr>
        <w:rFonts w:hint="default"/>
      </w:rPr>
    </w:lvl>
    <w:lvl w:ilvl="3">
      <w:start w:val="1"/>
      <w:numFmt w:val="decimal"/>
      <w:lvlText w:val="%3.%4"/>
      <w:lvlJc w:val="left"/>
      <w:pPr>
        <w:ind w:left="360" w:hanging="360"/>
      </w:pPr>
      <w:rPr>
        <w:rFonts w:hint="default"/>
      </w:rPr>
    </w:lvl>
    <w:lvl w:ilvl="4">
      <w:start w:val="1"/>
      <w:numFmt w:val="decimal"/>
      <w:lvlText w:val="%3.%4.%5"/>
      <w:lvlJc w:val="left"/>
      <w:pPr>
        <w:ind w:left="1728" w:hanging="1008"/>
      </w:pPr>
      <w:rPr>
        <w:rFonts w:hint="default"/>
      </w:rPr>
    </w:lvl>
    <w:lvl w:ilvl="5">
      <w:start w:val="1"/>
      <w:numFmt w:val="decimal"/>
      <w:lvlText w:val="%3.%4.%5.%6"/>
      <w:lvlJc w:val="left"/>
      <w:pPr>
        <w:ind w:left="3168" w:hanging="1440"/>
      </w:pPr>
      <w:rPr>
        <w:rFonts w:hint="default"/>
      </w:rPr>
    </w:lvl>
    <w:lvl w:ilvl="6">
      <w:start w:val="1"/>
      <w:numFmt w:val="decimal"/>
      <w:lvlText w:val="%3.%4.%5.%6.%7"/>
      <w:lvlJc w:val="left"/>
      <w:pPr>
        <w:tabs>
          <w:tab w:val="num" w:pos="2880"/>
        </w:tabs>
        <w:ind w:left="4752" w:hanging="1872"/>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3" w15:restartNumberingAfterBreak="0">
    <w:nsid w:val="55613A2A"/>
    <w:multiLevelType w:val="hybridMultilevel"/>
    <w:tmpl w:val="21168E6E"/>
    <w:lvl w:ilvl="0" w:tplc="0809000B">
      <w:start w:val="1"/>
      <w:numFmt w:val="bullet"/>
      <w:lvlText w:val=""/>
      <w:lvlJc w:val="left"/>
      <w:pPr>
        <w:ind w:left="1080" w:hanging="360"/>
      </w:pPr>
      <w:rPr>
        <w:rFonts w:ascii="Wingdings" w:hAnsi="Wingding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4" w15:restartNumberingAfterBreak="0">
    <w:nsid w:val="5B006021"/>
    <w:multiLevelType w:val="multilevel"/>
    <w:tmpl w:val="B5F6114A"/>
    <w:lvl w:ilvl="0">
      <w:start w:val="1"/>
      <w:numFmt w:val="decimal"/>
      <w:lvlText w:val="%1"/>
      <w:lvlJc w:val="left"/>
      <w:pPr>
        <w:ind w:left="720" w:hanging="720"/>
      </w:pPr>
      <w:rPr>
        <w:rFonts w:hint="default"/>
        <w:b w:val="0"/>
        <w:i w:val="0"/>
      </w:rPr>
    </w:lvl>
    <w:lvl w:ilvl="1">
      <w:start w:val="1"/>
      <w:numFmt w:val="decimal"/>
      <w:lvlText w:val="%1.%2"/>
      <w:lvlJc w:val="left"/>
      <w:pPr>
        <w:ind w:left="720" w:hanging="720"/>
      </w:pPr>
      <w:rPr>
        <w:rFonts w:hint="default"/>
        <w:b w:val="0"/>
        <w:i w:val="0"/>
      </w:rPr>
    </w:lvl>
    <w:lvl w:ilvl="2">
      <w:start w:val="1"/>
      <w:numFmt w:val="decimal"/>
      <w:lvlText w:val="%1.%2.%3"/>
      <w:lvlJc w:val="left"/>
      <w:pPr>
        <w:tabs>
          <w:tab w:val="num" w:pos="1008"/>
        </w:tabs>
        <w:ind w:left="1800" w:hanging="1080"/>
      </w:pPr>
      <w:rPr>
        <w:rFonts w:hint="default"/>
        <w:b w:val="0"/>
        <w:i w:val="0"/>
      </w:rPr>
    </w:lvl>
    <w:lvl w:ilvl="3">
      <w:start w:val="1"/>
      <w:numFmt w:val="decimal"/>
      <w:lvlText w:val="%1.%2.%3.%4"/>
      <w:lvlJc w:val="left"/>
      <w:pPr>
        <w:ind w:left="3168" w:hanging="1440"/>
      </w:pPr>
      <w:rPr>
        <w:rFonts w:hint="default"/>
        <w:b w:val="0"/>
        <w:i w:val="0"/>
      </w:rPr>
    </w:lvl>
    <w:lvl w:ilvl="4">
      <w:start w:val="1"/>
      <w:numFmt w:val="decimal"/>
      <w:lvlText w:val="%1.%2.%3.%4.%5"/>
      <w:lvlJc w:val="left"/>
      <w:pPr>
        <w:ind w:left="4752" w:hanging="1872"/>
      </w:pPr>
      <w:rPr>
        <w:rFonts w:hint="default"/>
        <w:b w:val="0"/>
        <w:bCs w:val="0"/>
        <w:i w:val="0"/>
        <w:iCs w:val="0"/>
        <w:caps w:val="0"/>
        <w:smallCaps w:val="0"/>
        <w:strike w:val="0"/>
        <w:dstrike w:val="0"/>
        <w:noProof w:val="0"/>
        <w:vanish w:val="0"/>
        <w:color w:val="00000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warmMatte"/>
        <w14:ligatures w14:val="none"/>
        <w14:numForm w14:val="default"/>
        <w14:numSpacing w14:val="default"/>
        <w14:stylisticSets/>
        <w14:cntxtAlts w14:val="0"/>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25" w15:restartNumberingAfterBreak="0">
    <w:nsid w:val="5B2B507D"/>
    <w:multiLevelType w:val="multilevel"/>
    <w:tmpl w:val="9CD6319E"/>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b w:val="0"/>
        <w:i w:val="0"/>
      </w:rPr>
    </w:lvl>
    <w:lvl w:ilvl="2">
      <w:start w:val="1"/>
      <w:numFmt w:val="bullet"/>
      <w:lvlText w:val=""/>
      <w:lvlJc w:val="left"/>
      <w:pPr>
        <w:ind w:left="1080" w:hanging="360"/>
      </w:pPr>
      <w:rPr>
        <w:rFonts w:ascii="Wingdings" w:hAnsi="Wingdings" w:hint="default"/>
      </w:rPr>
    </w:lvl>
    <w:lvl w:ilvl="3">
      <w:start w:val="1"/>
      <w:numFmt w:val="bullet"/>
      <w:lvlText w:val=""/>
      <w:lvlJc w:val="left"/>
      <w:pPr>
        <w:ind w:left="2088" w:hanging="360"/>
      </w:pPr>
      <w:rPr>
        <w:rFonts w:ascii="Wingdings" w:hAnsi="Wingdings" w:hint="default"/>
      </w:rPr>
    </w:lvl>
    <w:lvl w:ilvl="4">
      <w:start w:val="1"/>
      <w:numFmt w:val="decimal"/>
      <w:lvlText w:val="%1.%2.%3.%4.%5"/>
      <w:lvlJc w:val="left"/>
      <w:pPr>
        <w:tabs>
          <w:tab w:val="num" w:pos="4320"/>
        </w:tabs>
        <w:ind w:left="1440" w:firstLine="1440"/>
      </w:pPr>
      <w:rPr>
        <w:rFonts w:hint="default"/>
        <w:b w:val="0"/>
        <w:i w:val="0"/>
      </w:rPr>
    </w:lvl>
    <w:lvl w:ilvl="5">
      <w:start w:val="1"/>
      <w:numFmt w:val="lowerLetter"/>
      <w:lvlText w:val="(%6)"/>
      <w:lvlJc w:val="left"/>
      <w:pPr>
        <w:tabs>
          <w:tab w:val="num" w:pos="5760"/>
        </w:tabs>
        <w:ind w:left="5760" w:hanging="21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6" w15:restartNumberingAfterBreak="0">
    <w:nsid w:val="5E3E378A"/>
    <w:multiLevelType w:val="multilevel"/>
    <w:tmpl w:val="675EF194"/>
    <w:lvl w:ilvl="0">
      <w:start w:val="1"/>
      <w:numFmt w:val="decimal"/>
      <w:pStyle w:val="Level1Heading"/>
      <w:lvlText w:val="%1"/>
      <w:lvlJc w:val="left"/>
      <w:pPr>
        <w:tabs>
          <w:tab w:val="num" w:pos="720"/>
        </w:tabs>
        <w:ind w:left="720" w:hanging="720"/>
      </w:pPr>
      <w:rPr>
        <w:rFonts w:hint="default"/>
      </w:rPr>
    </w:lvl>
    <w:lvl w:ilvl="1">
      <w:start w:val="1"/>
      <w:numFmt w:val="decimal"/>
      <w:pStyle w:val="Level2Number"/>
      <w:lvlText w:val="%1.%2"/>
      <w:lvlJc w:val="left"/>
      <w:pPr>
        <w:tabs>
          <w:tab w:val="num" w:pos="720"/>
        </w:tabs>
        <w:ind w:left="720" w:hanging="720"/>
      </w:pPr>
      <w:rPr>
        <w:rFonts w:hint="default"/>
        <w:b w:val="0"/>
        <w:i w:val="0"/>
      </w:rPr>
    </w:lvl>
    <w:lvl w:ilvl="2">
      <w:start w:val="1"/>
      <w:numFmt w:val="decimal"/>
      <w:pStyle w:val="Level3Number"/>
      <w:lvlText w:val="%1.%2.%3"/>
      <w:lvlJc w:val="left"/>
      <w:pPr>
        <w:tabs>
          <w:tab w:val="num" w:pos="1728"/>
        </w:tabs>
        <w:ind w:left="1728" w:hanging="1008"/>
      </w:pPr>
      <w:rPr>
        <w:rFonts w:hint="default"/>
        <w:b w:val="0"/>
        <w:i w:val="0"/>
      </w:rPr>
    </w:lvl>
    <w:lvl w:ilvl="3">
      <w:start w:val="1"/>
      <w:numFmt w:val="decimal"/>
      <w:pStyle w:val="Level4Number"/>
      <w:lvlText w:val="%1.%2.%3.%4"/>
      <w:lvlJc w:val="left"/>
      <w:pPr>
        <w:tabs>
          <w:tab w:val="num" w:pos="2880"/>
        </w:tabs>
        <w:ind w:left="2880" w:hanging="1152"/>
      </w:pPr>
      <w:rPr>
        <w:rFonts w:hint="default"/>
        <w:b w:val="0"/>
        <w:i w:val="0"/>
      </w:rPr>
    </w:lvl>
    <w:lvl w:ilvl="4">
      <w:start w:val="1"/>
      <w:numFmt w:val="decimal"/>
      <w:pStyle w:val="Level5Number"/>
      <w:lvlText w:val="%1.%2.%3.%4.%5"/>
      <w:lvlJc w:val="left"/>
      <w:pPr>
        <w:tabs>
          <w:tab w:val="num" w:pos="4320"/>
        </w:tabs>
        <w:ind w:left="1440" w:firstLine="1440"/>
      </w:pPr>
      <w:rPr>
        <w:rFonts w:hint="default"/>
        <w:b w:val="0"/>
        <w:i w:val="0"/>
      </w:rPr>
    </w:lvl>
    <w:lvl w:ilvl="5">
      <w:start w:val="1"/>
      <w:numFmt w:val="lowerLetter"/>
      <w:pStyle w:val="Level6Number"/>
      <w:lvlText w:val="(%6)"/>
      <w:lvlJc w:val="left"/>
      <w:pPr>
        <w:tabs>
          <w:tab w:val="num" w:pos="5760"/>
        </w:tabs>
        <w:ind w:left="5760" w:hanging="2160"/>
      </w:pPr>
      <w:rPr>
        <w:rFonts w:hint="default"/>
      </w:rPr>
    </w:lvl>
    <w:lvl w:ilvl="6">
      <w:start w:val="1"/>
      <w:numFmt w:val="lowerLetter"/>
      <w:lvlText w:val="%7."/>
      <w:lvlJc w:val="left"/>
      <w:pPr>
        <w:ind w:left="2520" w:hanging="360"/>
      </w:pPr>
      <w:rPr>
        <w:rFonts w:hint="default"/>
      </w:rPr>
    </w:lvl>
    <w:lvl w:ilvl="7">
      <w:start w:val="1"/>
      <w:numFmt w:val="lowerRoman"/>
      <w:lvlText w:val="%8."/>
      <w:lvlJc w:val="left"/>
      <w:pPr>
        <w:ind w:left="2880" w:hanging="360"/>
      </w:pPr>
      <w:rPr>
        <w:rFonts w:hint="default"/>
      </w:rPr>
    </w:lvl>
    <w:lvl w:ilvl="8">
      <w:start w:val="1"/>
      <w:numFmt w:val="lowerLetter"/>
      <w:lvlText w:val="(%9)"/>
      <w:lvlJc w:val="left"/>
      <w:pPr>
        <w:ind w:left="3240" w:hanging="360"/>
      </w:pPr>
      <w:rPr>
        <w:rFonts w:hint="default"/>
      </w:rPr>
    </w:lvl>
  </w:abstractNum>
  <w:abstractNum w:abstractNumId="27" w15:restartNumberingAfterBreak="0">
    <w:nsid w:val="790471B7"/>
    <w:multiLevelType w:val="multilevel"/>
    <w:tmpl w:val="0342749E"/>
    <w:lvl w:ilvl="0">
      <w:start w:val="1"/>
      <w:numFmt w:val="none"/>
      <w:pStyle w:val="Schedule"/>
      <w:suff w:val="nothing"/>
      <w:lvlText w:val="SCHEDULE"/>
      <w:lvlJc w:val="left"/>
      <w:pPr>
        <w:ind w:left="0" w:firstLine="0"/>
      </w:pPr>
      <w:rPr>
        <w:rFonts w:hint="default"/>
        <w:b/>
        <w:i w:val="0"/>
      </w:rPr>
    </w:lvl>
    <w:lvl w:ilvl="1">
      <w:start w:val="1"/>
      <w:numFmt w:val="decimal"/>
      <w:pStyle w:val="Part"/>
      <w:suff w:val="nothing"/>
      <w:lvlText w:val="PART %2"/>
      <w:lvlJc w:val="left"/>
      <w:pPr>
        <w:ind w:left="0" w:firstLine="0"/>
      </w:pPr>
      <w:rPr>
        <w:rFonts w:hint="default"/>
        <w:b/>
        <w:i w:val="0"/>
      </w:rPr>
    </w:lvl>
    <w:lvl w:ilvl="2">
      <w:start w:val="1"/>
      <w:numFmt w:val="decimal"/>
      <w:pStyle w:val="Sch1Heading"/>
      <w:lvlText w:val="%3"/>
      <w:lvlJc w:val="left"/>
      <w:pPr>
        <w:ind w:left="720" w:hanging="720"/>
      </w:pPr>
      <w:rPr>
        <w:rFonts w:hint="default"/>
      </w:rPr>
    </w:lvl>
    <w:lvl w:ilvl="3">
      <w:start w:val="1"/>
      <w:numFmt w:val="decimal"/>
      <w:pStyle w:val="Sch2Number"/>
      <w:lvlText w:val="%3.%4"/>
      <w:lvlJc w:val="left"/>
      <w:pPr>
        <w:ind w:left="720" w:hanging="720"/>
      </w:pPr>
      <w:rPr>
        <w:rFonts w:hint="default"/>
        <w:b w:val="0"/>
        <w:i w:val="0"/>
      </w:rPr>
    </w:lvl>
    <w:lvl w:ilvl="4">
      <w:start w:val="1"/>
      <w:numFmt w:val="decimal"/>
      <w:pStyle w:val="Sch3Number"/>
      <w:lvlText w:val="%3.%4.%5"/>
      <w:lvlJc w:val="left"/>
      <w:pPr>
        <w:ind w:left="1728" w:hanging="1008"/>
      </w:pPr>
      <w:rPr>
        <w:rFonts w:hint="default"/>
        <w:b w:val="0"/>
        <w:i w:val="0"/>
      </w:rPr>
    </w:lvl>
    <w:lvl w:ilvl="5">
      <w:start w:val="1"/>
      <w:numFmt w:val="decimal"/>
      <w:pStyle w:val="Sch4Number"/>
      <w:lvlText w:val="%3.%4.%5.%6"/>
      <w:lvlJc w:val="left"/>
      <w:pPr>
        <w:tabs>
          <w:tab w:val="num" w:pos="2880"/>
        </w:tabs>
        <w:ind w:left="2880" w:hanging="1152"/>
      </w:pPr>
      <w:rPr>
        <w:rFonts w:hint="default"/>
        <w:b w:val="0"/>
        <w:i w:val="0"/>
      </w:rPr>
    </w:lvl>
    <w:lvl w:ilvl="6">
      <w:start w:val="1"/>
      <w:numFmt w:val="decimal"/>
      <w:pStyle w:val="Sch5Number"/>
      <w:lvlText w:val="%3.%4.%5.%6.%7"/>
      <w:lvlJc w:val="left"/>
      <w:pPr>
        <w:tabs>
          <w:tab w:val="num" w:pos="4320"/>
        </w:tabs>
        <w:ind w:left="4320" w:hanging="1440"/>
      </w:pPr>
      <w:rPr>
        <w:rFonts w:hint="default"/>
        <w:b w:val="0"/>
        <w:i w:val="0"/>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8" w15:restartNumberingAfterBreak="0">
    <w:nsid w:val="7F936C78"/>
    <w:multiLevelType w:val="hybridMultilevel"/>
    <w:tmpl w:val="08C2447E"/>
    <w:lvl w:ilvl="0" w:tplc="0809000B">
      <w:start w:val="1"/>
      <w:numFmt w:val="bullet"/>
      <w:lvlText w:val=""/>
      <w:lvlJc w:val="left"/>
      <w:pPr>
        <w:ind w:left="1440" w:hanging="360"/>
      </w:pPr>
      <w:rPr>
        <w:rFonts w:ascii="Wingdings" w:hAnsi="Wingdings"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974409666">
    <w:abstractNumId w:val="24"/>
  </w:num>
  <w:num w:numId="2" w16cid:durableId="1924728566">
    <w:abstractNumId w:val="17"/>
  </w:num>
  <w:num w:numId="3" w16cid:durableId="1547109104">
    <w:abstractNumId w:val="26"/>
  </w:num>
  <w:num w:numId="4" w16cid:durableId="1978679064">
    <w:abstractNumId w:val="22"/>
  </w:num>
  <w:num w:numId="5" w16cid:durableId="2092462553">
    <w:abstractNumId w:val="9"/>
  </w:num>
  <w:num w:numId="6" w16cid:durableId="1917201068">
    <w:abstractNumId w:val="7"/>
  </w:num>
  <w:num w:numId="7" w16cid:durableId="2065594182">
    <w:abstractNumId w:val="6"/>
  </w:num>
  <w:num w:numId="8" w16cid:durableId="632713113">
    <w:abstractNumId w:val="5"/>
  </w:num>
  <w:num w:numId="9" w16cid:durableId="1693726834">
    <w:abstractNumId w:val="4"/>
  </w:num>
  <w:num w:numId="10" w16cid:durableId="1128860192">
    <w:abstractNumId w:val="12"/>
  </w:num>
  <w:num w:numId="11" w16cid:durableId="1572229610">
    <w:abstractNumId w:val="18"/>
  </w:num>
  <w:num w:numId="12" w16cid:durableId="1237082839">
    <w:abstractNumId w:val="21"/>
  </w:num>
  <w:num w:numId="13" w16cid:durableId="1164202023">
    <w:abstractNumId w:val="8"/>
  </w:num>
  <w:num w:numId="14" w16cid:durableId="1677154624">
    <w:abstractNumId w:val="3"/>
  </w:num>
  <w:num w:numId="15" w16cid:durableId="1476993210">
    <w:abstractNumId w:val="2"/>
  </w:num>
  <w:num w:numId="16" w16cid:durableId="315039814">
    <w:abstractNumId w:val="1"/>
  </w:num>
  <w:num w:numId="17" w16cid:durableId="1352339739">
    <w:abstractNumId w:val="0"/>
  </w:num>
  <w:num w:numId="18" w16cid:durableId="914127694">
    <w:abstractNumId w:val="27"/>
  </w:num>
  <w:num w:numId="19" w16cid:durableId="1420709956">
    <w:abstractNumId w:val="11"/>
  </w:num>
  <w:num w:numId="20" w16cid:durableId="268582576">
    <w:abstractNumId w:val="13"/>
  </w:num>
  <w:num w:numId="21" w16cid:durableId="1942250822">
    <w:abstractNumId w:val="10"/>
  </w:num>
  <w:num w:numId="22" w16cid:durableId="12193213">
    <w:abstractNumId w:val="25"/>
  </w:num>
  <w:num w:numId="23" w16cid:durableId="1444611994">
    <w:abstractNumId w:val="23"/>
  </w:num>
  <w:num w:numId="24" w16cid:durableId="1939562273">
    <w:abstractNumId w:val="16"/>
  </w:num>
  <w:num w:numId="25" w16cid:durableId="274294904">
    <w:abstractNumId w:val="19"/>
  </w:num>
  <w:num w:numId="26" w16cid:durableId="2020816767">
    <w:abstractNumId w:val="14"/>
  </w:num>
  <w:num w:numId="27" w16cid:durableId="1917592484">
    <w:abstractNumId w:val="28"/>
  </w:num>
  <w:num w:numId="28" w16cid:durableId="1369800457">
    <w:abstractNumId w:val="20"/>
  </w:num>
  <w:num w:numId="29" w16cid:durableId="1366521604">
    <w:abstractNumId w:val="15"/>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SortMethod w:val="0000"/>
  <w:defaultTabStop w:val="720"/>
  <w:drawingGridHorizontalSpacing w:val="110"/>
  <w:displayHorizontalDrawingGridEvery w:val="2"/>
  <w:displayVerticalDrawingGridEvery w:val="2"/>
  <w:characterSpacingControl w:val="doNotCompress"/>
  <w:hdrShapeDefaults>
    <o:shapedefaults v:ext="edit" spidmax="3074"/>
    <o:shapelayout v:ext="edit">
      <o:idmap v:ext="edit" data="1,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TMS_CultureId" w:val="en-GB"/>
    <w:docVar w:name="TMS_OfficeId" w:val="London"/>
  </w:docVars>
  <w:rsids>
    <w:rsidRoot w:val="009815E8"/>
    <w:rsid w:val="000023A2"/>
    <w:rsid w:val="00014A52"/>
    <w:rsid w:val="0002220E"/>
    <w:rsid w:val="00031A36"/>
    <w:rsid w:val="00032620"/>
    <w:rsid w:val="00052DC2"/>
    <w:rsid w:val="00070FAF"/>
    <w:rsid w:val="0007112F"/>
    <w:rsid w:val="000758E1"/>
    <w:rsid w:val="00092259"/>
    <w:rsid w:val="00096C76"/>
    <w:rsid w:val="000A6937"/>
    <w:rsid w:val="000B489B"/>
    <w:rsid w:val="000D09BA"/>
    <w:rsid w:val="000E4D65"/>
    <w:rsid w:val="000E7220"/>
    <w:rsid w:val="000F045D"/>
    <w:rsid w:val="000F0B7A"/>
    <w:rsid w:val="000F6227"/>
    <w:rsid w:val="001209DD"/>
    <w:rsid w:val="00133D28"/>
    <w:rsid w:val="00140C0C"/>
    <w:rsid w:val="001542FE"/>
    <w:rsid w:val="00154687"/>
    <w:rsid w:val="00156377"/>
    <w:rsid w:val="001618D2"/>
    <w:rsid w:val="001707FE"/>
    <w:rsid w:val="00177B12"/>
    <w:rsid w:val="00181E1F"/>
    <w:rsid w:val="001820B7"/>
    <w:rsid w:val="00196A10"/>
    <w:rsid w:val="001A512C"/>
    <w:rsid w:val="001C6A43"/>
    <w:rsid w:val="001D63A7"/>
    <w:rsid w:val="001F4FA6"/>
    <w:rsid w:val="00200372"/>
    <w:rsid w:val="002068B0"/>
    <w:rsid w:val="00217410"/>
    <w:rsid w:val="00223B4E"/>
    <w:rsid w:val="00250177"/>
    <w:rsid w:val="00254C9E"/>
    <w:rsid w:val="0026546F"/>
    <w:rsid w:val="00276784"/>
    <w:rsid w:val="00283A47"/>
    <w:rsid w:val="00284B17"/>
    <w:rsid w:val="002E2D2E"/>
    <w:rsid w:val="00300D43"/>
    <w:rsid w:val="00314CD1"/>
    <w:rsid w:val="003209D4"/>
    <w:rsid w:val="00342E4C"/>
    <w:rsid w:val="00345F4B"/>
    <w:rsid w:val="00352B02"/>
    <w:rsid w:val="00375592"/>
    <w:rsid w:val="00390251"/>
    <w:rsid w:val="0039599C"/>
    <w:rsid w:val="003A09E1"/>
    <w:rsid w:val="003B0320"/>
    <w:rsid w:val="003B7157"/>
    <w:rsid w:val="003C382B"/>
    <w:rsid w:val="003E4865"/>
    <w:rsid w:val="003E6155"/>
    <w:rsid w:val="003E6865"/>
    <w:rsid w:val="003F1315"/>
    <w:rsid w:val="004104D0"/>
    <w:rsid w:val="00414448"/>
    <w:rsid w:val="00415B85"/>
    <w:rsid w:val="0042703D"/>
    <w:rsid w:val="00435DED"/>
    <w:rsid w:val="00452ED7"/>
    <w:rsid w:val="00453949"/>
    <w:rsid w:val="00473E10"/>
    <w:rsid w:val="00483C72"/>
    <w:rsid w:val="00484288"/>
    <w:rsid w:val="00486325"/>
    <w:rsid w:val="00494D32"/>
    <w:rsid w:val="004A035C"/>
    <w:rsid w:val="004A1C4A"/>
    <w:rsid w:val="004A7CAC"/>
    <w:rsid w:val="004B1AED"/>
    <w:rsid w:val="004B51CD"/>
    <w:rsid w:val="004D2EF3"/>
    <w:rsid w:val="004D39AD"/>
    <w:rsid w:val="004E68A2"/>
    <w:rsid w:val="004F42C8"/>
    <w:rsid w:val="004F665C"/>
    <w:rsid w:val="0050612B"/>
    <w:rsid w:val="005117DF"/>
    <w:rsid w:val="005167CC"/>
    <w:rsid w:val="00517478"/>
    <w:rsid w:val="005230EB"/>
    <w:rsid w:val="005237FA"/>
    <w:rsid w:val="00524FA1"/>
    <w:rsid w:val="00534CDF"/>
    <w:rsid w:val="0053589F"/>
    <w:rsid w:val="00537707"/>
    <w:rsid w:val="00551208"/>
    <w:rsid w:val="00551592"/>
    <w:rsid w:val="005562BC"/>
    <w:rsid w:val="0057299E"/>
    <w:rsid w:val="005735A8"/>
    <w:rsid w:val="0058140D"/>
    <w:rsid w:val="005912AB"/>
    <w:rsid w:val="00592B12"/>
    <w:rsid w:val="00596A67"/>
    <w:rsid w:val="005B5EBD"/>
    <w:rsid w:val="005C64AD"/>
    <w:rsid w:val="005E2268"/>
    <w:rsid w:val="005E3F4E"/>
    <w:rsid w:val="0061605D"/>
    <w:rsid w:val="00621AD8"/>
    <w:rsid w:val="0063611F"/>
    <w:rsid w:val="00636A41"/>
    <w:rsid w:val="006375DF"/>
    <w:rsid w:val="00640F0E"/>
    <w:rsid w:val="00642F71"/>
    <w:rsid w:val="0064485A"/>
    <w:rsid w:val="00651054"/>
    <w:rsid w:val="006548D6"/>
    <w:rsid w:val="00666989"/>
    <w:rsid w:val="00691A2E"/>
    <w:rsid w:val="00696C01"/>
    <w:rsid w:val="00697279"/>
    <w:rsid w:val="00697B5D"/>
    <w:rsid w:val="006A5018"/>
    <w:rsid w:val="006B0740"/>
    <w:rsid w:val="006B1A72"/>
    <w:rsid w:val="006D3895"/>
    <w:rsid w:val="006D7925"/>
    <w:rsid w:val="006E0486"/>
    <w:rsid w:val="006E23B2"/>
    <w:rsid w:val="00707205"/>
    <w:rsid w:val="00707931"/>
    <w:rsid w:val="0071237D"/>
    <w:rsid w:val="00730B72"/>
    <w:rsid w:val="00733DA1"/>
    <w:rsid w:val="00734EFF"/>
    <w:rsid w:val="00744185"/>
    <w:rsid w:val="0074749E"/>
    <w:rsid w:val="00767EFE"/>
    <w:rsid w:val="00770313"/>
    <w:rsid w:val="00780EF5"/>
    <w:rsid w:val="00787F68"/>
    <w:rsid w:val="00797D2B"/>
    <w:rsid w:val="007A5ADE"/>
    <w:rsid w:val="007B5DD7"/>
    <w:rsid w:val="007C14DE"/>
    <w:rsid w:val="007C1E3C"/>
    <w:rsid w:val="007C6519"/>
    <w:rsid w:val="007D5FA4"/>
    <w:rsid w:val="007F2E8C"/>
    <w:rsid w:val="007F48A5"/>
    <w:rsid w:val="007F7D5F"/>
    <w:rsid w:val="0080159E"/>
    <w:rsid w:val="00807F8A"/>
    <w:rsid w:val="00811580"/>
    <w:rsid w:val="008174F9"/>
    <w:rsid w:val="008259CA"/>
    <w:rsid w:val="0082653B"/>
    <w:rsid w:val="0085140B"/>
    <w:rsid w:val="0087184C"/>
    <w:rsid w:val="008C164B"/>
    <w:rsid w:val="008C18EB"/>
    <w:rsid w:val="008C7653"/>
    <w:rsid w:val="008D19E8"/>
    <w:rsid w:val="008D1A17"/>
    <w:rsid w:val="008D3C72"/>
    <w:rsid w:val="008E59E7"/>
    <w:rsid w:val="008E6CF9"/>
    <w:rsid w:val="008F16E2"/>
    <w:rsid w:val="009065CE"/>
    <w:rsid w:val="00911720"/>
    <w:rsid w:val="009136F8"/>
    <w:rsid w:val="009216D1"/>
    <w:rsid w:val="00927B27"/>
    <w:rsid w:val="00932AB6"/>
    <w:rsid w:val="0093737C"/>
    <w:rsid w:val="00951EF6"/>
    <w:rsid w:val="00954B9E"/>
    <w:rsid w:val="00961AAC"/>
    <w:rsid w:val="0097400A"/>
    <w:rsid w:val="00976937"/>
    <w:rsid w:val="009815E8"/>
    <w:rsid w:val="009B3751"/>
    <w:rsid w:val="009C67B3"/>
    <w:rsid w:val="009D4B30"/>
    <w:rsid w:val="009E1D09"/>
    <w:rsid w:val="00A03F25"/>
    <w:rsid w:val="00A0424A"/>
    <w:rsid w:val="00A073DD"/>
    <w:rsid w:val="00A115DF"/>
    <w:rsid w:val="00A348B7"/>
    <w:rsid w:val="00A4392B"/>
    <w:rsid w:val="00A4509C"/>
    <w:rsid w:val="00A45EC4"/>
    <w:rsid w:val="00A4662D"/>
    <w:rsid w:val="00A5179E"/>
    <w:rsid w:val="00A64B8D"/>
    <w:rsid w:val="00A712A1"/>
    <w:rsid w:val="00A81B19"/>
    <w:rsid w:val="00A8561F"/>
    <w:rsid w:val="00AA2A3D"/>
    <w:rsid w:val="00AA770E"/>
    <w:rsid w:val="00AC50ED"/>
    <w:rsid w:val="00AD1F3A"/>
    <w:rsid w:val="00AE039A"/>
    <w:rsid w:val="00AF3AC7"/>
    <w:rsid w:val="00AF600E"/>
    <w:rsid w:val="00B043B8"/>
    <w:rsid w:val="00B12AA3"/>
    <w:rsid w:val="00B15CF4"/>
    <w:rsid w:val="00B17A23"/>
    <w:rsid w:val="00B25280"/>
    <w:rsid w:val="00B37192"/>
    <w:rsid w:val="00B47A58"/>
    <w:rsid w:val="00B57431"/>
    <w:rsid w:val="00B6306F"/>
    <w:rsid w:val="00B644AD"/>
    <w:rsid w:val="00B6554A"/>
    <w:rsid w:val="00B752C3"/>
    <w:rsid w:val="00B95325"/>
    <w:rsid w:val="00BA6FB3"/>
    <w:rsid w:val="00BB366C"/>
    <w:rsid w:val="00BB5D8C"/>
    <w:rsid w:val="00BC428A"/>
    <w:rsid w:val="00BC7950"/>
    <w:rsid w:val="00C03865"/>
    <w:rsid w:val="00C14350"/>
    <w:rsid w:val="00C167AF"/>
    <w:rsid w:val="00C425A1"/>
    <w:rsid w:val="00C44258"/>
    <w:rsid w:val="00C54660"/>
    <w:rsid w:val="00C55A47"/>
    <w:rsid w:val="00C71BA9"/>
    <w:rsid w:val="00C755A6"/>
    <w:rsid w:val="00C80BF6"/>
    <w:rsid w:val="00C84962"/>
    <w:rsid w:val="00C86624"/>
    <w:rsid w:val="00CB1222"/>
    <w:rsid w:val="00CB267D"/>
    <w:rsid w:val="00CD623A"/>
    <w:rsid w:val="00CE5747"/>
    <w:rsid w:val="00CF6E45"/>
    <w:rsid w:val="00CF73D6"/>
    <w:rsid w:val="00D00162"/>
    <w:rsid w:val="00D162AE"/>
    <w:rsid w:val="00D36912"/>
    <w:rsid w:val="00D40359"/>
    <w:rsid w:val="00D5693E"/>
    <w:rsid w:val="00D60BE8"/>
    <w:rsid w:val="00D941B8"/>
    <w:rsid w:val="00DB7B05"/>
    <w:rsid w:val="00DC0487"/>
    <w:rsid w:val="00DC6570"/>
    <w:rsid w:val="00DD6222"/>
    <w:rsid w:val="00DE02EF"/>
    <w:rsid w:val="00DF4B0E"/>
    <w:rsid w:val="00DF77F1"/>
    <w:rsid w:val="00E11C33"/>
    <w:rsid w:val="00E20B0B"/>
    <w:rsid w:val="00E2641C"/>
    <w:rsid w:val="00E45CC0"/>
    <w:rsid w:val="00E47D09"/>
    <w:rsid w:val="00E47EEB"/>
    <w:rsid w:val="00E61713"/>
    <w:rsid w:val="00E64F95"/>
    <w:rsid w:val="00E76825"/>
    <w:rsid w:val="00E85E60"/>
    <w:rsid w:val="00EA2908"/>
    <w:rsid w:val="00EB341E"/>
    <w:rsid w:val="00EC2583"/>
    <w:rsid w:val="00EC3806"/>
    <w:rsid w:val="00EC6D8E"/>
    <w:rsid w:val="00EE1D31"/>
    <w:rsid w:val="00F3105A"/>
    <w:rsid w:val="00F3629F"/>
    <w:rsid w:val="00F366A4"/>
    <w:rsid w:val="00F376CE"/>
    <w:rsid w:val="00F53098"/>
    <w:rsid w:val="00F61D7B"/>
    <w:rsid w:val="00F65884"/>
    <w:rsid w:val="00F8183E"/>
    <w:rsid w:val="00F87C00"/>
    <w:rsid w:val="00F94824"/>
    <w:rsid w:val="00F95662"/>
    <w:rsid w:val="00FA4F67"/>
    <w:rsid w:val="00FA7A1F"/>
    <w:rsid w:val="00FB30A5"/>
    <w:rsid w:val="00FD2C82"/>
    <w:rsid w:val="00FF292C"/>
    <w:rsid w:val="00FF4502"/>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3"/>
    </o:shapelayout>
  </w:shapeDefaults>
  <w:decimalSymbol w:val="."/>
  <w:listSeparator w:val=","/>
  <w14:docId w14:val="557A22CB"/>
  <w15:docId w15:val="{A2C5D268-D4FD-49C8-87CC-818157BE37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qFormat="1"/>
    <w:lsdException w:name="heading 4" w:semiHidden="1" w:uiPriority="9" w:qFormat="1"/>
    <w:lsdException w:name="heading 5" w:semiHidden="1" w:uiPriority="9" w:qFormat="1"/>
    <w:lsdException w:name="heading 6" w:semiHidden="1" w:uiPriority="9" w:qFormat="1"/>
    <w:lsdException w:name="heading 7" w:semiHidden="1" w:uiPriority="9" w:qFormat="1"/>
    <w:lsdException w:name="heading 8" w:semiHidden="1" w:uiPriority="9" w:qFormat="1"/>
    <w:lsdException w:name="heading 9" w:semiHidden="1" w:uiPriority="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lsdException w:name="toc 4" w:semiHidden="1" w:uiPriority="39"/>
    <w:lsdException w:name="toc 5" w:semiHidden="1" w:uiPriority="39"/>
    <w:lsdException w:name="toc 6" w:semiHidden="1" w:uiPriority="39"/>
    <w:lsdException w:name="toc 7" w:semiHidden="1" w:uiPriority="39"/>
    <w:lsdException w:name="toc 8" w:semiHidden="1" w:uiPriority="39"/>
    <w:lsdException w:name="toc 9" w:semiHidden="1" w:uiPriority="39"/>
    <w:lsdException w:name="Normal Indent" w:semiHidden="1"/>
    <w:lsdException w:name="footnote text" w:semiHidden="1" w:unhideWhenUsed="1" w:qFormat="1"/>
    <w:lsdException w:name="annotation text" w:semiHidden="1" w:unhideWhenUsed="1"/>
    <w:lsdException w:name="header" w:semiHidden="1"/>
    <w:lsdException w:name="footer"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unhideWhenUsed="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uiPriority="19" w:qFormat="1"/>
    <w:lsdException w:name="Closing" w:semiHidden="1"/>
    <w:lsdException w:name="Signature" w:semiHidden="1" w:unhideWhenUsed="1"/>
    <w:lsdException w:name="Default Paragraph Font" w:semiHidden="1" w:uiPriority="1"/>
    <w:lsdException w:name="Body Text" w:semiHidden="1"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uiPriority="19"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qFormat="1"/>
    <w:lsdException w:name="Body Text 3" w:semiHidden="1" w:qFormat="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uiPriority="22" w:qFormat="1"/>
    <w:lsdException w:name="Emphasis"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5"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semiHidden="1" w:uiPriority="32" w:qFormat="1"/>
    <w:lsdException w:name="Book Title" w:semiHidden="1" w:uiPriority="33" w:qFormat="1"/>
    <w:lsdException w:name="Bibliography" w:semiHidden="1" w:uiPriority="37"/>
    <w:lsdException w:name="TOC Heading" w:semiHidden="1" w:uiPriority="39"/>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lsdException w:name="Smart Hyperlink" w:semiHidden="1"/>
    <w:lsdException w:name="Hashtag" w:semiHidden="1"/>
    <w:lsdException w:name="Unresolved Mention" w:semiHidden="1"/>
    <w:lsdException w:name="Smart Link" w:semiHidden="1" w:unhideWhenUsed="1"/>
  </w:latentStyles>
  <w:style w:type="paragraph" w:default="1" w:styleId="Normal">
    <w:name w:val="Normal"/>
    <w:uiPriority w:val="99"/>
    <w:semiHidden/>
    <w:qFormat/>
    <w:rsid w:val="00A712A1"/>
    <w:pPr>
      <w:spacing w:after="0" w:line="240" w:lineRule="auto"/>
      <w:jc w:val="both"/>
    </w:pPr>
    <w:rPr>
      <w:color w:val="000000" w:themeColor="text1"/>
      <w:sz w:val="20"/>
    </w:rPr>
  </w:style>
  <w:style w:type="paragraph" w:styleId="Heading1">
    <w:name w:val="heading 1"/>
    <w:basedOn w:val="Normal"/>
    <w:next w:val="Normal"/>
    <w:link w:val="Heading1Char"/>
    <w:uiPriority w:val="99"/>
    <w:semiHidden/>
    <w:qFormat/>
    <w:rsid w:val="00A348B7"/>
    <w:pPr>
      <w:keepNext/>
      <w:keepLines/>
      <w:spacing w:after="240" w:line="360" w:lineRule="auto"/>
      <w:outlineLvl w:val="0"/>
    </w:pPr>
    <w:rPr>
      <w:rFonts w:eastAsiaTheme="majorEastAsia" w:cstheme="majorBidi"/>
      <w:bCs/>
      <w:szCs w:val="28"/>
    </w:rPr>
  </w:style>
  <w:style w:type="paragraph" w:styleId="Heading2">
    <w:name w:val="heading 2"/>
    <w:basedOn w:val="Normal"/>
    <w:next w:val="Normal"/>
    <w:link w:val="Heading2Char"/>
    <w:uiPriority w:val="99"/>
    <w:semiHidden/>
    <w:qFormat/>
    <w:rsid w:val="006B0740"/>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9"/>
    <w:semiHidden/>
    <w:qFormat/>
    <w:rsid w:val="006B0740"/>
    <w:pPr>
      <w:keepNext/>
      <w:keepLines/>
      <w:spacing w:before="20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9"/>
    <w:semiHidden/>
    <w:qFormat/>
    <w:rsid w:val="006B0740"/>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9"/>
    <w:semiHidden/>
    <w:qFormat/>
    <w:rsid w:val="006B0740"/>
    <w:pPr>
      <w:keepNext/>
      <w:keepLines/>
      <w:spacing w:before="20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9"/>
    <w:semiHidden/>
    <w:qFormat/>
    <w:rsid w:val="006B0740"/>
    <w:pPr>
      <w:keepNext/>
      <w:keepLines/>
      <w:numPr>
        <w:ilvl w:val="5"/>
        <w:numId w:val="1"/>
      </w:numPr>
      <w:spacing w:before="20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9"/>
    <w:semiHidden/>
    <w:qFormat/>
    <w:rsid w:val="006B0740"/>
    <w:pPr>
      <w:keepNext/>
      <w:keepLines/>
      <w:numPr>
        <w:ilvl w:val="6"/>
        <w:numId w:val="1"/>
      </w:numPr>
      <w:spacing w:before="20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9"/>
    <w:semiHidden/>
    <w:qFormat/>
    <w:rsid w:val="006B0740"/>
    <w:pPr>
      <w:keepNext/>
      <w:keepLines/>
      <w:numPr>
        <w:ilvl w:val="7"/>
        <w:numId w:val="1"/>
      </w:numPr>
      <w:spacing w:before="200"/>
      <w:outlineLvl w:val="7"/>
    </w:pPr>
    <w:rPr>
      <w:rFonts w:asciiTheme="majorHAnsi" w:eastAsiaTheme="majorEastAsia" w:hAnsiTheme="majorHAnsi" w:cstheme="majorBidi"/>
      <w:color w:val="404040" w:themeColor="text1" w:themeTint="BF"/>
      <w:szCs w:val="20"/>
    </w:rPr>
  </w:style>
  <w:style w:type="paragraph" w:styleId="Heading9">
    <w:name w:val="heading 9"/>
    <w:basedOn w:val="Normal"/>
    <w:next w:val="Normal"/>
    <w:link w:val="Heading9Char"/>
    <w:uiPriority w:val="99"/>
    <w:semiHidden/>
    <w:qFormat/>
    <w:rsid w:val="006B0740"/>
    <w:pPr>
      <w:keepNext/>
      <w:keepLines/>
      <w:numPr>
        <w:ilvl w:val="8"/>
        <w:numId w:val="1"/>
      </w:numPr>
      <w:spacing w:before="200"/>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semiHidden/>
    <w:rsid w:val="008E6CF9"/>
    <w:rPr>
      <w:rFonts w:eastAsiaTheme="majorEastAsia" w:cstheme="majorBidi"/>
      <w:bCs/>
      <w:color w:val="000000" w:themeColor="text1"/>
      <w:sz w:val="19"/>
      <w:szCs w:val="28"/>
    </w:rPr>
  </w:style>
  <w:style w:type="character" w:customStyle="1" w:styleId="Heading2Char">
    <w:name w:val="Heading 2 Char"/>
    <w:basedOn w:val="DefaultParagraphFont"/>
    <w:link w:val="Heading2"/>
    <w:uiPriority w:val="99"/>
    <w:semiHidden/>
    <w:rsid w:val="008E6CF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9"/>
    <w:semiHidden/>
    <w:rsid w:val="008E6CF9"/>
    <w:rPr>
      <w:rFonts w:asciiTheme="majorHAnsi" w:eastAsiaTheme="majorEastAsia" w:hAnsiTheme="majorHAnsi" w:cstheme="majorBidi"/>
      <w:b/>
      <w:bCs/>
      <w:color w:val="4F81BD" w:themeColor="accent1"/>
      <w:sz w:val="19"/>
    </w:rPr>
  </w:style>
  <w:style w:type="character" w:customStyle="1" w:styleId="Heading4Char">
    <w:name w:val="Heading 4 Char"/>
    <w:basedOn w:val="DefaultParagraphFont"/>
    <w:link w:val="Heading4"/>
    <w:uiPriority w:val="99"/>
    <w:semiHidden/>
    <w:rsid w:val="008E6CF9"/>
    <w:rPr>
      <w:rFonts w:asciiTheme="majorHAnsi" w:eastAsiaTheme="majorEastAsia" w:hAnsiTheme="majorHAnsi" w:cstheme="majorBidi"/>
      <w:b/>
      <w:bCs/>
      <w:i/>
      <w:iCs/>
      <w:color w:val="4F81BD" w:themeColor="accent1"/>
      <w:sz w:val="19"/>
    </w:rPr>
  </w:style>
  <w:style w:type="character" w:customStyle="1" w:styleId="Heading5Char">
    <w:name w:val="Heading 5 Char"/>
    <w:basedOn w:val="DefaultParagraphFont"/>
    <w:link w:val="Heading5"/>
    <w:uiPriority w:val="99"/>
    <w:semiHidden/>
    <w:rsid w:val="008E6CF9"/>
    <w:rPr>
      <w:rFonts w:asciiTheme="majorHAnsi" w:eastAsiaTheme="majorEastAsia" w:hAnsiTheme="majorHAnsi" w:cstheme="majorBidi"/>
      <w:color w:val="243F60" w:themeColor="accent1" w:themeShade="7F"/>
      <w:sz w:val="19"/>
    </w:rPr>
  </w:style>
  <w:style w:type="character" w:customStyle="1" w:styleId="Heading6Char">
    <w:name w:val="Heading 6 Char"/>
    <w:basedOn w:val="DefaultParagraphFont"/>
    <w:link w:val="Heading6"/>
    <w:uiPriority w:val="99"/>
    <w:semiHidden/>
    <w:rsid w:val="008E6CF9"/>
    <w:rPr>
      <w:rFonts w:asciiTheme="majorHAnsi" w:eastAsiaTheme="majorEastAsia" w:hAnsiTheme="majorHAnsi" w:cstheme="majorBidi"/>
      <w:i/>
      <w:iCs/>
      <w:color w:val="243F60" w:themeColor="accent1" w:themeShade="7F"/>
      <w:sz w:val="20"/>
    </w:rPr>
  </w:style>
  <w:style w:type="character" w:customStyle="1" w:styleId="Heading7Char">
    <w:name w:val="Heading 7 Char"/>
    <w:basedOn w:val="DefaultParagraphFont"/>
    <w:link w:val="Heading7"/>
    <w:uiPriority w:val="99"/>
    <w:semiHidden/>
    <w:rsid w:val="008E6CF9"/>
    <w:rPr>
      <w:rFonts w:asciiTheme="majorHAnsi" w:eastAsiaTheme="majorEastAsia" w:hAnsiTheme="majorHAnsi" w:cstheme="majorBidi"/>
      <w:i/>
      <w:iCs/>
      <w:color w:val="404040" w:themeColor="text1" w:themeTint="BF"/>
      <w:sz w:val="20"/>
    </w:rPr>
  </w:style>
  <w:style w:type="character" w:customStyle="1" w:styleId="Heading8Char">
    <w:name w:val="Heading 8 Char"/>
    <w:basedOn w:val="DefaultParagraphFont"/>
    <w:link w:val="Heading8"/>
    <w:uiPriority w:val="99"/>
    <w:semiHidden/>
    <w:rsid w:val="008E6CF9"/>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9"/>
    <w:semiHidden/>
    <w:rsid w:val="008E6CF9"/>
    <w:rPr>
      <w:rFonts w:asciiTheme="majorHAnsi" w:eastAsiaTheme="majorEastAsia" w:hAnsiTheme="majorHAnsi" w:cstheme="majorBidi"/>
      <w:i/>
      <w:iCs/>
      <w:color w:val="404040" w:themeColor="text1" w:themeTint="BF"/>
      <w:sz w:val="20"/>
      <w:szCs w:val="20"/>
    </w:rPr>
  </w:style>
  <w:style w:type="paragraph" w:styleId="Header">
    <w:name w:val="header"/>
    <w:basedOn w:val="Normal"/>
    <w:link w:val="HeaderChar"/>
    <w:uiPriority w:val="99"/>
    <w:semiHidden/>
    <w:rsid w:val="009216D1"/>
    <w:pPr>
      <w:tabs>
        <w:tab w:val="center" w:pos="4513"/>
        <w:tab w:val="right" w:pos="9026"/>
      </w:tabs>
    </w:pPr>
  </w:style>
  <w:style w:type="paragraph" w:styleId="BodyText">
    <w:name w:val="Body Text"/>
    <w:basedOn w:val="Normal"/>
    <w:link w:val="BodyTextChar"/>
    <w:uiPriority w:val="9"/>
    <w:semiHidden/>
    <w:qFormat/>
    <w:rsid w:val="000B489B"/>
    <w:pPr>
      <w:spacing w:after="240" w:line="360" w:lineRule="auto"/>
    </w:pPr>
  </w:style>
  <w:style w:type="character" w:customStyle="1" w:styleId="BodyTextChar">
    <w:name w:val="Body Text Char"/>
    <w:basedOn w:val="DefaultParagraphFont"/>
    <w:link w:val="BodyText"/>
    <w:uiPriority w:val="9"/>
    <w:semiHidden/>
    <w:rsid w:val="008E6CF9"/>
    <w:rPr>
      <w:color w:val="000000" w:themeColor="text1"/>
      <w:sz w:val="19"/>
    </w:rPr>
  </w:style>
  <w:style w:type="paragraph" w:customStyle="1" w:styleId="BodyText1">
    <w:name w:val="Body Text 1"/>
    <w:basedOn w:val="BodyText"/>
    <w:uiPriority w:val="10"/>
    <w:qFormat/>
    <w:rsid w:val="000B489B"/>
  </w:style>
  <w:style w:type="paragraph" w:styleId="BodyText2">
    <w:name w:val="Body Text 2"/>
    <w:basedOn w:val="BodyText"/>
    <w:link w:val="BodyText2Char"/>
    <w:uiPriority w:val="99"/>
    <w:qFormat/>
    <w:rsid w:val="000B489B"/>
    <w:pPr>
      <w:ind w:left="720"/>
    </w:pPr>
  </w:style>
  <w:style w:type="character" w:customStyle="1" w:styleId="BodyText2Char">
    <w:name w:val="Body Text 2 Char"/>
    <w:basedOn w:val="DefaultParagraphFont"/>
    <w:link w:val="BodyText2"/>
    <w:uiPriority w:val="99"/>
    <w:rsid w:val="008E6CF9"/>
    <w:rPr>
      <w:color w:val="000000" w:themeColor="text1"/>
      <w:sz w:val="19"/>
    </w:rPr>
  </w:style>
  <w:style w:type="paragraph" w:styleId="BodyText3">
    <w:name w:val="Body Text 3"/>
    <w:basedOn w:val="Normal"/>
    <w:link w:val="BodyText3Char"/>
    <w:uiPriority w:val="10"/>
    <w:qFormat/>
    <w:rsid w:val="000B489B"/>
    <w:pPr>
      <w:spacing w:after="240" w:line="360" w:lineRule="auto"/>
      <w:ind w:left="1728"/>
    </w:pPr>
    <w:rPr>
      <w:szCs w:val="16"/>
    </w:rPr>
  </w:style>
  <w:style w:type="character" w:customStyle="1" w:styleId="BodyText3Char">
    <w:name w:val="Body Text 3 Char"/>
    <w:basedOn w:val="DefaultParagraphFont"/>
    <w:link w:val="BodyText3"/>
    <w:uiPriority w:val="10"/>
    <w:rsid w:val="008E6CF9"/>
    <w:rPr>
      <w:color w:val="000000" w:themeColor="text1"/>
      <w:sz w:val="19"/>
      <w:szCs w:val="16"/>
    </w:rPr>
  </w:style>
  <w:style w:type="paragraph" w:customStyle="1" w:styleId="BodyText4">
    <w:name w:val="Body Text 4"/>
    <w:basedOn w:val="BodyText"/>
    <w:uiPriority w:val="15"/>
    <w:qFormat/>
    <w:rsid w:val="000B489B"/>
    <w:pPr>
      <w:ind w:left="2880"/>
    </w:pPr>
  </w:style>
  <w:style w:type="paragraph" w:customStyle="1" w:styleId="BodyText5">
    <w:name w:val="Body Text 5"/>
    <w:basedOn w:val="BodyText"/>
    <w:uiPriority w:val="15"/>
    <w:qFormat/>
    <w:rsid w:val="000B489B"/>
    <w:pPr>
      <w:ind w:left="4320"/>
    </w:pPr>
  </w:style>
  <w:style w:type="character" w:customStyle="1" w:styleId="HeaderChar">
    <w:name w:val="Header Char"/>
    <w:basedOn w:val="DefaultParagraphFont"/>
    <w:link w:val="Header"/>
    <w:uiPriority w:val="99"/>
    <w:semiHidden/>
    <w:rsid w:val="009216D1"/>
    <w:rPr>
      <w:color w:val="000000" w:themeColor="text1"/>
      <w:sz w:val="19"/>
    </w:rPr>
  </w:style>
  <w:style w:type="paragraph" w:styleId="Footer">
    <w:name w:val="footer"/>
    <w:basedOn w:val="Normal"/>
    <w:link w:val="FooterChar"/>
    <w:uiPriority w:val="99"/>
    <w:semiHidden/>
    <w:rsid w:val="009216D1"/>
    <w:pPr>
      <w:tabs>
        <w:tab w:val="center" w:pos="4513"/>
        <w:tab w:val="right" w:pos="9026"/>
      </w:tabs>
    </w:pPr>
    <w:rPr>
      <w:sz w:val="16"/>
    </w:rPr>
  </w:style>
  <w:style w:type="character" w:customStyle="1" w:styleId="FooterChar">
    <w:name w:val="Footer Char"/>
    <w:basedOn w:val="DefaultParagraphFont"/>
    <w:link w:val="Footer"/>
    <w:uiPriority w:val="99"/>
    <w:semiHidden/>
    <w:rsid w:val="009216D1"/>
    <w:rPr>
      <w:color w:val="000000" w:themeColor="text1"/>
      <w:sz w:val="16"/>
    </w:rPr>
  </w:style>
  <w:style w:type="paragraph" w:customStyle="1" w:styleId="Level1Heading">
    <w:name w:val="Level 1 Heading"/>
    <w:basedOn w:val="BodyText"/>
    <w:uiPriority w:val="9"/>
    <w:qFormat/>
    <w:rsid w:val="000E7220"/>
    <w:pPr>
      <w:keepNext/>
      <w:numPr>
        <w:numId w:val="3"/>
      </w:numPr>
      <w:outlineLvl w:val="0"/>
    </w:pPr>
    <w:rPr>
      <w:b/>
    </w:rPr>
  </w:style>
  <w:style w:type="paragraph" w:customStyle="1" w:styleId="Level1Number">
    <w:name w:val="Level 1 Number"/>
    <w:basedOn w:val="Level1Heading"/>
    <w:uiPriority w:val="9"/>
    <w:qFormat/>
    <w:rsid w:val="0007112F"/>
    <w:pPr>
      <w:keepNext w:val="0"/>
    </w:pPr>
    <w:rPr>
      <w:b w:val="0"/>
    </w:rPr>
  </w:style>
  <w:style w:type="paragraph" w:customStyle="1" w:styleId="Level2Number">
    <w:name w:val="Level 2 Number"/>
    <w:basedOn w:val="BodyText"/>
    <w:uiPriority w:val="9"/>
    <w:qFormat/>
    <w:rsid w:val="00B043B8"/>
    <w:pPr>
      <w:numPr>
        <w:ilvl w:val="1"/>
        <w:numId w:val="3"/>
      </w:numPr>
      <w:outlineLvl w:val="1"/>
    </w:pPr>
  </w:style>
  <w:style w:type="paragraph" w:customStyle="1" w:styleId="Level2Heading">
    <w:name w:val="Level 2 Heading"/>
    <w:basedOn w:val="Level2Number"/>
    <w:uiPriority w:val="9"/>
    <w:qFormat/>
    <w:rsid w:val="00A64B8D"/>
    <w:pPr>
      <w:keepNext/>
    </w:pPr>
    <w:rPr>
      <w:b/>
    </w:rPr>
  </w:style>
  <w:style w:type="paragraph" w:customStyle="1" w:styleId="Level3Number">
    <w:name w:val="Level 3 Number"/>
    <w:basedOn w:val="BodyText"/>
    <w:uiPriority w:val="14"/>
    <w:qFormat/>
    <w:rsid w:val="00414448"/>
    <w:pPr>
      <w:numPr>
        <w:ilvl w:val="2"/>
        <w:numId w:val="3"/>
      </w:numPr>
      <w:outlineLvl w:val="2"/>
    </w:pPr>
  </w:style>
  <w:style w:type="paragraph" w:customStyle="1" w:styleId="Level3Heading">
    <w:name w:val="Level 3 Heading"/>
    <w:basedOn w:val="Level3Number"/>
    <w:uiPriority w:val="14"/>
    <w:qFormat/>
    <w:rsid w:val="0007112F"/>
    <w:pPr>
      <w:keepNext/>
    </w:pPr>
    <w:rPr>
      <w:b/>
    </w:rPr>
  </w:style>
  <w:style w:type="paragraph" w:customStyle="1" w:styleId="Level4Number">
    <w:name w:val="Level 4 Number"/>
    <w:basedOn w:val="BodyText"/>
    <w:uiPriority w:val="14"/>
    <w:qFormat/>
    <w:rsid w:val="00414448"/>
    <w:pPr>
      <w:numPr>
        <w:ilvl w:val="3"/>
        <w:numId w:val="3"/>
      </w:numPr>
      <w:outlineLvl w:val="3"/>
    </w:pPr>
  </w:style>
  <w:style w:type="paragraph" w:customStyle="1" w:styleId="Level4Heading">
    <w:name w:val="Level 4 Heading"/>
    <w:basedOn w:val="Level4Number"/>
    <w:uiPriority w:val="14"/>
    <w:unhideWhenUsed/>
    <w:qFormat/>
    <w:rsid w:val="0007112F"/>
    <w:pPr>
      <w:keepNext/>
    </w:pPr>
    <w:rPr>
      <w:b/>
    </w:rPr>
  </w:style>
  <w:style w:type="paragraph" w:customStyle="1" w:styleId="Level5Number">
    <w:name w:val="Level 5 Number"/>
    <w:basedOn w:val="BodyText"/>
    <w:uiPriority w:val="14"/>
    <w:qFormat/>
    <w:rsid w:val="00414448"/>
    <w:pPr>
      <w:numPr>
        <w:ilvl w:val="4"/>
        <w:numId w:val="3"/>
      </w:numPr>
      <w:ind w:left="4320" w:hanging="1440"/>
      <w:outlineLvl w:val="4"/>
    </w:pPr>
  </w:style>
  <w:style w:type="paragraph" w:customStyle="1" w:styleId="Level5Heading">
    <w:name w:val="Level 5 Heading"/>
    <w:basedOn w:val="Level5Number"/>
    <w:uiPriority w:val="14"/>
    <w:unhideWhenUsed/>
    <w:qFormat/>
    <w:rsid w:val="00414448"/>
    <w:pPr>
      <w:keepNext/>
    </w:pPr>
    <w:rPr>
      <w:b/>
    </w:rPr>
  </w:style>
  <w:style w:type="paragraph" w:customStyle="1" w:styleId="IntroHeading">
    <w:name w:val="Intro Heading"/>
    <w:basedOn w:val="BodyText"/>
    <w:next w:val="BodyText1"/>
    <w:uiPriority w:val="9"/>
    <w:qFormat/>
    <w:rsid w:val="00217410"/>
    <w:pPr>
      <w:outlineLvl w:val="0"/>
    </w:pPr>
    <w:rPr>
      <w:b/>
      <w:caps/>
    </w:rPr>
  </w:style>
  <w:style w:type="numbering" w:customStyle="1" w:styleId="NumberingMain">
    <w:name w:val="Numbering Main"/>
    <w:basedOn w:val="NoList"/>
    <w:uiPriority w:val="99"/>
    <w:rsid w:val="000D09BA"/>
    <w:pPr>
      <w:numPr>
        <w:numId w:val="2"/>
      </w:numPr>
    </w:pPr>
  </w:style>
  <w:style w:type="paragraph" w:customStyle="1" w:styleId="Schedule">
    <w:name w:val="Schedule"/>
    <w:basedOn w:val="BodyText"/>
    <w:next w:val="BodyText1"/>
    <w:uiPriority w:val="18"/>
    <w:qFormat/>
    <w:rsid w:val="00E47D09"/>
    <w:pPr>
      <w:numPr>
        <w:numId w:val="18"/>
      </w:numPr>
      <w:jc w:val="center"/>
      <w:outlineLvl w:val="0"/>
    </w:pPr>
    <w:rPr>
      <w:b/>
      <w:caps/>
    </w:rPr>
  </w:style>
  <w:style w:type="paragraph" w:customStyle="1" w:styleId="Part">
    <w:name w:val="Part"/>
    <w:basedOn w:val="BodyText"/>
    <w:next w:val="BodyText1"/>
    <w:uiPriority w:val="19"/>
    <w:qFormat/>
    <w:rsid w:val="00E47D09"/>
    <w:pPr>
      <w:numPr>
        <w:ilvl w:val="1"/>
        <w:numId w:val="18"/>
      </w:numPr>
      <w:jc w:val="center"/>
      <w:outlineLvl w:val="0"/>
    </w:pPr>
    <w:rPr>
      <w:b/>
      <w:caps/>
    </w:rPr>
  </w:style>
  <w:style w:type="paragraph" w:customStyle="1" w:styleId="Sch1Heading">
    <w:name w:val="Sch 1 Heading"/>
    <w:basedOn w:val="BodyText"/>
    <w:uiPriority w:val="19"/>
    <w:qFormat/>
    <w:rsid w:val="005B5EBD"/>
    <w:pPr>
      <w:keepNext/>
      <w:numPr>
        <w:ilvl w:val="2"/>
        <w:numId w:val="18"/>
      </w:numPr>
      <w:outlineLvl w:val="0"/>
    </w:pPr>
    <w:rPr>
      <w:b/>
    </w:rPr>
  </w:style>
  <w:style w:type="paragraph" w:customStyle="1" w:styleId="Sch1Number">
    <w:name w:val="Sch 1 Number"/>
    <w:basedOn w:val="Sch1Heading"/>
    <w:uiPriority w:val="19"/>
    <w:qFormat/>
    <w:rsid w:val="005B5EBD"/>
    <w:pPr>
      <w:keepNext w:val="0"/>
    </w:pPr>
    <w:rPr>
      <w:b w:val="0"/>
    </w:rPr>
  </w:style>
  <w:style w:type="paragraph" w:customStyle="1" w:styleId="Sch2Number">
    <w:name w:val="Sch 2 Number"/>
    <w:basedOn w:val="BodyText"/>
    <w:uiPriority w:val="19"/>
    <w:qFormat/>
    <w:rsid w:val="00352B02"/>
    <w:pPr>
      <w:numPr>
        <w:ilvl w:val="3"/>
        <w:numId w:val="18"/>
      </w:numPr>
      <w:outlineLvl w:val="1"/>
    </w:pPr>
  </w:style>
  <w:style w:type="paragraph" w:customStyle="1" w:styleId="Sch2Heading">
    <w:name w:val="Sch 2 Heading"/>
    <w:basedOn w:val="Sch2Number"/>
    <w:uiPriority w:val="19"/>
    <w:qFormat/>
    <w:rsid w:val="005B5EBD"/>
    <w:pPr>
      <w:keepNext/>
    </w:pPr>
    <w:rPr>
      <w:b/>
    </w:rPr>
  </w:style>
  <w:style w:type="paragraph" w:customStyle="1" w:styleId="Sch3Number">
    <w:name w:val="Sch 3 Number"/>
    <w:basedOn w:val="BodyText"/>
    <w:uiPriority w:val="19"/>
    <w:qFormat/>
    <w:rsid w:val="00352B02"/>
    <w:pPr>
      <w:numPr>
        <w:ilvl w:val="4"/>
        <w:numId w:val="18"/>
      </w:numPr>
      <w:outlineLvl w:val="2"/>
    </w:pPr>
  </w:style>
  <w:style w:type="paragraph" w:customStyle="1" w:styleId="Sch3Heading">
    <w:name w:val="Sch 3 Heading"/>
    <w:basedOn w:val="Sch3Number"/>
    <w:uiPriority w:val="19"/>
    <w:qFormat/>
    <w:rsid w:val="005B5EBD"/>
    <w:pPr>
      <w:keepNext/>
    </w:pPr>
    <w:rPr>
      <w:b/>
    </w:rPr>
  </w:style>
  <w:style w:type="paragraph" w:customStyle="1" w:styleId="Sch4Number">
    <w:name w:val="Sch 4 Number"/>
    <w:basedOn w:val="BodyText"/>
    <w:uiPriority w:val="19"/>
    <w:unhideWhenUsed/>
    <w:qFormat/>
    <w:rsid w:val="000E7220"/>
    <w:pPr>
      <w:numPr>
        <w:ilvl w:val="5"/>
        <w:numId w:val="18"/>
      </w:numPr>
      <w:outlineLvl w:val="3"/>
    </w:pPr>
  </w:style>
  <w:style w:type="paragraph" w:customStyle="1" w:styleId="Sch4Heading">
    <w:name w:val="Sch 4 Heading"/>
    <w:basedOn w:val="Sch4Number"/>
    <w:uiPriority w:val="19"/>
    <w:unhideWhenUsed/>
    <w:qFormat/>
    <w:rsid w:val="005B5EBD"/>
    <w:pPr>
      <w:keepNext/>
    </w:pPr>
    <w:rPr>
      <w:b/>
    </w:rPr>
  </w:style>
  <w:style w:type="paragraph" w:customStyle="1" w:styleId="Sch5Number">
    <w:name w:val="Sch 5 Number"/>
    <w:basedOn w:val="BodyText"/>
    <w:uiPriority w:val="19"/>
    <w:unhideWhenUsed/>
    <w:qFormat/>
    <w:rsid w:val="000E7220"/>
    <w:pPr>
      <w:numPr>
        <w:ilvl w:val="6"/>
        <w:numId w:val="18"/>
      </w:numPr>
      <w:outlineLvl w:val="4"/>
    </w:pPr>
  </w:style>
  <w:style w:type="paragraph" w:customStyle="1" w:styleId="Sch5Heading">
    <w:name w:val="Sch 5 Heading"/>
    <w:basedOn w:val="Sch5Number"/>
    <w:uiPriority w:val="19"/>
    <w:unhideWhenUsed/>
    <w:qFormat/>
    <w:rsid w:val="00797D2B"/>
    <w:pPr>
      <w:keepNext/>
    </w:pPr>
    <w:rPr>
      <w:b/>
    </w:rPr>
  </w:style>
  <w:style w:type="numbering" w:customStyle="1" w:styleId="NumberingSchedules">
    <w:name w:val="Numbering Schedules"/>
    <w:basedOn w:val="NoList"/>
    <w:uiPriority w:val="99"/>
    <w:rsid w:val="00352B02"/>
    <w:pPr>
      <w:numPr>
        <w:numId w:val="4"/>
      </w:numPr>
    </w:pPr>
  </w:style>
  <w:style w:type="paragraph" w:styleId="TOC1">
    <w:name w:val="toc 1"/>
    <w:basedOn w:val="Normal"/>
    <w:next w:val="Normal"/>
    <w:autoRedefine/>
    <w:uiPriority w:val="39"/>
    <w:unhideWhenUsed/>
    <w:rsid w:val="00B752C3"/>
    <w:pPr>
      <w:tabs>
        <w:tab w:val="left" w:pos="440"/>
        <w:tab w:val="right" w:leader="dot" w:pos="9016"/>
      </w:tabs>
      <w:spacing w:after="120" w:line="276" w:lineRule="auto"/>
      <w:ind w:left="720" w:hanging="720"/>
      <w:jc w:val="center"/>
    </w:pPr>
  </w:style>
  <w:style w:type="paragraph" w:styleId="TOC2">
    <w:name w:val="toc 2"/>
    <w:basedOn w:val="Normal"/>
    <w:next w:val="Normal"/>
    <w:autoRedefine/>
    <w:uiPriority w:val="39"/>
    <w:unhideWhenUsed/>
    <w:rsid w:val="0061605D"/>
    <w:pPr>
      <w:spacing w:after="120" w:line="360" w:lineRule="auto"/>
      <w:ind w:left="720" w:hanging="720"/>
    </w:pPr>
  </w:style>
  <w:style w:type="character" w:styleId="Hyperlink">
    <w:name w:val="Hyperlink"/>
    <w:basedOn w:val="DefaultParagraphFont"/>
    <w:uiPriority w:val="99"/>
    <w:unhideWhenUsed/>
    <w:rsid w:val="00A0424A"/>
    <w:rPr>
      <w:rFonts w:ascii="Arial" w:hAnsi="Arial"/>
      <w:color w:val="0000FF" w:themeColor="hyperlink"/>
      <w:sz w:val="20"/>
      <w:u w:val="single"/>
    </w:rPr>
  </w:style>
  <w:style w:type="paragraph" w:styleId="TOC3">
    <w:name w:val="toc 3"/>
    <w:basedOn w:val="Normal"/>
    <w:next w:val="Normal"/>
    <w:autoRedefine/>
    <w:uiPriority w:val="39"/>
    <w:semiHidden/>
    <w:rsid w:val="00CD623A"/>
    <w:pPr>
      <w:spacing w:after="120" w:line="360" w:lineRule="auto"/>
      <w:ind w:left="1728" w:hanging="1008"/>
    </w:pPr>
  </w:style>
  <w:style w:type="paragraph" w:styleId="TOC4">
    <w:name w:val="toc 4"/>
    <w:basedOn w:val="Normal"/>
    <w:next w:val="Normal"/>
    <w:autoRedefine/>
    <w:uiPriority w:val="39"/>
    <w:semiHidden/>
    <w:rsid w:val="00CD623A"/>
    <w:pPr>
      <w:spacing w:after="120" w:line="360" w:lineRule="auto"/>
      <w:ind w:left="2880" w:hanging="1152"/>
    </w:pPr>
  </w:style>
  <w:style w:type="paragraph" w:customStyle="1" w:styleId="BodyText6">
    <w:name w:val="Body Text 6"/>
    <w:basedOn w:val="BodyText"/>
    <w:uiPriority w:val="99"/>
    <w:semiHidden/>
    <w:rsid w:val="00A115DF"/>
    <w:pPr>
      <w:ind w:left="5040"/>
    </w:pPr>
  </w:style>
  <w:style w:type="paragraph" w:customStyle="1" w:styleId="Level6Number">
    <w:name w:val="Level 6 Number"/>
    <w:basedOn w:val="BodyText"/>
    <w:uiPriority w:val="99"/>
    <w:qFormat/>
    <w:rsid w:val="00A115DF"/>
    <w:pPr>
      <w:numPr>
        <w:ilvl w:val="5"/>
        <w:numId w:val="3"/>
      </w:numPr>
    </w:pPr>
  </w:style>
  <w:style w:type="paragraph" w:customStyle="1" w:styleId="Level6Heading">
    <w:name w:val="Level 6 Heading"/>
    <w:basedOn w:val="Level6Number"/>
    <w:uiPriority w:val="99"/>
    <w:semiHidden/>
    <w:rsid w:val="00A115DF"/>
    <w:pPr>
      <w:keepNext/>
    </w:pPr>
    <w:rPr>
      <w:b/>
    </w:rPr>
  </w:style>
  <w:style w:type="character" w:styleId="PlaceholderText">
    <w:name w:val="Placeholder Text"/>
    <w:basedOn w:val="DefaultParagraphFont"/>
    <w:uiPriority w:val="99"/>
    <w:semiHidden/>
    <w:rsid w:val="00E61713"/>
    <w:rPr>
      <w:color w:val="808080"/>
    </w:rPr>
  </w:style>
  <w:style w:type="paragraph" w:customStyle="1" w:styleId="DocID">
    <w:name w:val="DocID"/>
    <w:basedOn w:val="Normal"/>
    <w:link w:val="DocIDChar"/>
    <w:uiPriority w:val="99"/>
    <w:qFormat/>
    <w:rsid w:val="006375DF"/>
    <w:rPr>
      <w:color w:val="auto"/>
      <w:sz w:val="16"/>
    </w:rPr>
  </w:style>
  <w:style w:type="table" w:styleId="TableGrid">
    <w:name w:val="Table Grid"/>
    <w:basedOn w:val="TableNormal"/>
    <w:uiPriority w:val="59"/>
    <w:rsid w:val="006375D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fficeList">
    <w:name w:val="Office List"/>
    <w:basedOn w:val="Normal"/>
    <w:uiPriority w:val="99"/>
    <w:qFormat/>
    <w:rsid w:val="006375DF"/>
    <w:rPr>
      <w:rFonts w:asciiTheme="majorBidi" w:hAnsiTheme="majorBidi" w:cstheme="majorBidi"/>
      <w:color w:val="auto"/>
      <w:sz w:val="16"/>
      <w:szCs w:val="16"/>
    </w:rPr>
  </w:style>
  <w:style w:type="character" w:customStyle="1" w:styleId="DocIDChar">
    <w:name w:val="DocID Char"/>
    <w:basedOn w:val="DefaultParagraphFont"/>
    <w:link w:val="DocID"/>
    <w:uiPriority w:val="99"/>
    <w:rsid w:val="008C164B"/>
    <w:rPr>
      <w:sz w:val="16"/>
    </w:rPr>
  </w:style>
  <w:style w:type="paragraph" w:customStyle="1" w:styleId="Classify">
    <w:name w:val="Classify"/>
    <w:basedOn w:val="Normal"/>
    <w:link w:val="ClassifyChar"/>
    <w:uiPriority w:val="99"/>
    <w:qFormat/>
    <w:rsid w:val="008C164B"/>
    <w:pPr>
      <w:jc w:val="right"/>
    </w:pPr>
    <w:rPr>
      <w:sz w:val="16"/>
    </w:rPr>
  </w:style>
  <w:style w:type="character" w:customStyle="1" w:styleId="ClassifyChar">
    <w:name w:val="Classify Char"/>
    <w:basedOn w:val="DefaultParagraphFont"/>
    <w:link w:val="Classify"/>
    <w:uiPriority w:val="99"/>
    <w:rsid w:val="008C164B"/>
    <w:rPr>
      <w:color w:val="000000" w:themeColor="text1"/>
      <w:sz w:val="16"/>
    </w:rPr>
  </w:style>
  <w:style w:type="paragraph" w:styleId="BalloonText">
    <w:name w:val="Balloon Text"/>
    <w:basedOn w:val="Normal"/>
    <w:link w:val="BalloonTextChar"/>
    <w:uiPriority w:val="99"/>
    <w:semiHidden/>
    <w:rsid w:val="00A0424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0424A"/>
    <w:rPr>
      <w:rFonts w:ascii="Segoe UI" w:hAnsi="Segoe UI" w:cs="Segoe UI"/>
      <w:color w:val="000000" w:themeColor="text1"/>
      <w:sz w:val="18"/>
      <w:szCs w:val="18"/>
    </w:rPr>
  </w:style>
  <w:style w:type="paragraph" w:styleId="Caption">
    <w:name w:val="caption"/>
    <w:basedOn w:val="Normal"/>
    <w:next w:val="Normal"/>
    <w:uiPriority w:val="35"/>
    <w:unhideWhenUsed/>
    <w:qFormat/>
    <w:rsid w:val="00696C01"/>
    <w:pPr>
      <w:spacing w:after="200"/>
    </w:pPr>
    <w:rPr>
      <w:i/>
      <w:iCs/>
      <w:color w:val="1F497D" w:themeColor="text2"/>
      <w:sz w:val="18"/>
      <w:szCs w:val="18"/>
    </w:rPr>
  </w:style>
  <w:style w:type="paragraph" w:styleId="FootnoteText">
    <w:name w:val="footnote text"/>
    <w:basedOn w:val="Normal"/>
    <w:link w:val="FootnoteTextChar"/>
    <w:uiPriority w:val="99"/>
    <w:unhideWhenUsed/>
    <w:qFormat/>
    <w:rsid w:val="00696C01"/>
    <w:rPr>
      <w:szCs w:val="20"/>
    </w:rPr>
  </w:style>
  <w:style w:type="character" w:customStyle="1" w:styleId="FootnoteTextChar">
    <w:name w:val="Footnote Text Char"/>
    <w:basedOn w:val="DefaultParagraphFont"/>
    <w:link w:val="FootnoteText"/>
    <w:uiPriority w:val="99"/>
    <w:rsid w:val="00696C01"/>
    <w:rPr>
      <w:color w:val="000000" w:themeColor="text1"/>
      <w:sz w:val="20"/>
      <w:szCs w:val="20"/>
    </w:rPr>
  </w:style>
  <w:style w:type="paragraph" w:styleId="EndnoteText">
    <w:name w:val="endnote text"/>
    <w:basedOn w:val="Normal"/>
    <w:link w:val="EndnoteTextChar"/>
    <w:uiPriority w:val="99"/>
    <w:unhideWhenUsed/>
    <w:rsid w:val="00696C01"/>
    <w:rPr>
      <w:szCs w:val="20"/>
    </w:rPr>
  </w:style>
  <w:style w:type="character" w:customStyle="1" w:styleId="EndnoteTextChar">
    <w:name w:val="Endnote Text Char"/>
    <w:basedOn w:val="DefaultParagraphFont"/>
    <w:link w:val="EndnoteText"/>
    <w:uiPriority w:val="99"/>
    <w:rsid w:val="00696C01"/>
    <w:rPr>
      <w:color w:val="000000" w:themeColor="text1"/>
      <w:sz w:val="20"/>
      <w:szCs w:val="20"/>
    </w:rPr>
  </w:style>
  <w:style w:type="paragraph" w:styleId="CommentText">
    <w:name w:val="annotation text"/>
    <w:basedOn w:val="Normal"/>
    <w:link w:val="CommentTextChar"/>
    <w:uiPriority w:val="99"/>
    <w:unhideWhenUsed/>
    <w:rsid w:val="00696C01"/>
    <w:rPr>
      <w:szCs w:val="20"/>
    </w:rPr>
  </w:style>
  <w:style w:type="character" w:customStyle="1" w:styleId="CommentTextChar">
    <w:name w:val="Comment Text Char"/>
    <w:basedOn w:val="DefaultParagraphFont"/>
    <w:link w:val="CommentText"/>
    <w:uiPriority w:val="99"/>
    <w:rsid w:val="00696C01"/>
    <w:rPr>
      <w:color w:val="000000" w:themeColor="text1"/>
      <w:sz w:val="20"/>
      <w:szCs w:val="20"/>
    </w:rPr>
  </w:style>
  <w:style w:type="paragraph" w:styleId="Signature">
    <w:name w:val="Signature"/>
    <w:basedOn w:val="Normal"/>
    <w:link w:val="SignatureChar"/>
    <w:uiPriority w:val="99"/>
    <w:unhideWhenUsed/>
    <w:rsid w:val="00696C01"/>
    <w:pPr>
      <w:ind w:left="4252"/>
    </w:pPr>
  </w:style>
  <w:style w:type="character" w:customStyle="1" w:styleId="SignatureChar">
    <w:name w:val="Signature Char"/>
    <w:basedOn w:val="DefaultParagraphFont"/>
    <w:link w:val="Signature"/>
    <w:uiPriority w:val="99"/>
    <w:rsid w:val="00696C01"/>
    <w:rPr>
      <w:color w:val="000000" w:themeColor="text1"/>
      <w:sz w:val="20"/>
    </w:rPr>
  </w:style>
  <w:style w:type="numbering" w:styleId="111111">
    <w:name w:val="Outline List 2"/>
    <w:basedOn w:val="NoList"/>
    <w:uiPriority w:val="99"/>
    <w:semiHidden/>
    <w:rsid w:val="00696C01"/>
    <w:pPr>
      <w:numPr>
        <w:numId w:val="10"/>
      </w:numPr>
    </w:pPr>
  </w:style>
  <w:style w:type="numbering" w:styleId="1ai">
    <w:name w:val="Outline List 1"/>
    <w:basedOn w:val="NoList"/>
    <w:uiPriority w:val="99"/>
    <w:semiHidden/>
    <w:rsid w:val="00696C01"/>
    <w:pPr>
      <w:numPr>
        <w:numId w:val="11"/>
      </w:numPr>
    </w:pPr>
  </w:style>
  <w:style w:type="numbering" w:styleId="ArticleSection">
    <w:name w:val="Outline List 3"/>
    <w:basedOn w:val="NoList"/>
    <w:uiPriority w:val="99"/>
    <w:semiHidden/>
    <w:rsid w:val="00696C01"/>
    <w:pPr>
      <w:numPr>
        <w:numId w:val="12"/>
      </w:numPr>
    </w:pPr>
  </w:style>
  <w:style w:type="paragraph" w:styleId="Bibliography">
    <w:name w:val="Bibliography"/>
    <w:basedOn w:val="Normal"/>
    <w:next w:val="Normal"/>
    <w:uiPriority w:val="37"/>
    <w:semiHidden/>
    <w:rsid w:val="00696C01"/>
  </w:style>
  <w:style w:type="paragraph" w:styleId="BlockText">
    <w:name w:val="Block Text"/>
    <w:basedOn w:val="Normal"/>
    <w:uiPriority w:val="99"/>
    <w:semiHidden/>
    <w:rsid w:val="00696C01"/>
    <w:pPr>
      <w:pBdr>
        <w:top w:val="single" w:sz="2" w:space="10" w:color="4F81BD" w:themeColor="accent1"/>
        <w:left w:val="single" w:sz="2" w:space="10" w:color="4F81BD" w:themeColor="accent1"/>
        <w:bottom w:val="single" w:sz="2" w:space="10" w:color="4F81BD" w:themeColor="accent1"/>
        <w:right w:val="single" w:sz="2" w:space="10" w:color="4F81BD" w:themeColor="accent1"/>
      </w:pBdr>
      <w:ind w:left="1152" w:right="1152"/>
    </w:pPr>
    <w:rPr>
      <w:rFonts w:eastAsiaTheme="minorEastAsia"/>
      <w:i/>
      <w:iCs/>
      <w:color w:val="4F81BD" w:themeColor="accent1"/>
    </w:rPr>
  </w:style>
  <w:style w:type="paragraph" w:styleId="BodyTextFirstIndent">
    <w:name w:val="Body Text First Indent"/>
    <w:basedOn w:val="BodyText"/>
    <w:link w:val="BodyTextFirstIndentChar"/>
    <w:uiPriority w:val="99"/>
    <w:semiHidden/>
    <w:rsid w:val="00696C01"/>
    <w:pPr>
      <w:spacing w:after="0" w:line="240" w:lineRule="auto"/>
      <w:ind w:firstLine="360"/>
    </w:pPr>
  </w:style>
  <w:style w:type="character" w:customStyle="1" w:styleId="BodyTextFirstIndentChar">
    <w:name w:val="Body Text First Indent Char"/>
    <w:basedOn w:val="BodyTextChar"/>
    <w:link w:val="BodyTextFirstIndent"/>
    <w:uiPriority w:val="99"/>
    <w:semiHidden/>
    <w:rsid w:val="00696C01"/>
    <w:rPr>
      <w:color w:val="000000" w:themeColor="text1"/>
      <w:sz w:val="20"/>
    </w:rPr>
  </w:style>
  <w:style w:type="paragraph" w:styleId="BodyTextIndent">
    <w:name w:val="Body Text Indent"/>
    <w:basedOn w:val="Normal"/>
    <w:link w:val="BodyTextIndentChar"/>
    <w:uiPriority w:val="99"/>
    <w:semiHidden/>
    <w:rsid w:val="00696C01"/>
    <w:pPr>
      <w:spacing w:after="120"/>
      <w:ind w:left="283"/>
    </w:pPr>
  </w:style>
  <w:style w:type="character" w:customStyle="1" w:styleId="BodyTextIndentChar">
    <w:name w:val="Body Text Indent Char"/>
    <w:basedOn w:val="DefaultParagraphFont"/>
    <w:link w:val="BodyTextIndent"/>
    <w:uiPriority w:val="99"/>
    <w:semiHidden/>
    <w:rsid w:val="00696C01"/>
    <w:rPr>
      <w:color w:val="000000" w:themeColor="text1"/>
      <w:sz w:val="20"/>
    </w:rPr>
  </w:style>
  <w:style w:type="paragraph" w:styleId="BodyTextFirstIndent2">
    <w:name w:val="Body Text First Indent 2"/>
    <w:basedOn w:val="BodyTextIndent"/>
    <w:link w:val="BodyTextFirstIndent2Char"/>
    <w:uiPriority w:val="99"/>
    <w:semiHidden/>
    <w:rsid w:val="00696C01"/>
    <w:pPr>
      <w:spacing w:after="0"/>
      <w:ind w:left="360" w:firstLine="360"/>
    </w:pPr>
  </w:style>
  <w:style w:type="character" w:customStyle="1" w:styleId="BodyTextFirstIndent2Char">
    <w:name w:val="Body Text First Indent 2 Char"/>
    <w:basedOn w:val="BodyTextIndentChar"/>
    <w:link w:val="BodyTextFirstIndent2"/>
    <w:uiPriority w:val="99"/>
    <w:semiHidden/>
    <w:rsid w:val="00696C01"/>
    <w:rPr>
      <w:color w:val="000000" w:themeColor="text1"/>
      <w:sz w:val="20"/>
    </w:rPr>
  </w:style>
  <w:style w:type="paragraph" w:styleId="BodyTextIndent2">
    <w:name w:val="Body Text Indent 2"/>
    <w:basedOn w:val="Normal"/>
    <w:link w:val="BodyTextIndent2Char"/>
    <w:uiPriority w:val="99"/>
    <w:semiHidden/>
    <w:rsid w:val="00696C01"/>
    <w:pPr>
      <w:spacing w:after="120" w:line="480" w:lineRule="auto"/>
      <w:ind w:left="283"/>
    </w:pPr>
  </w:style>
  <w:style w:type="character" w:customStyle="1" w:styleId="BodyTextIndent2Char">
    <w:name w:val="Body Text Indent 2 Char"/>
    <w:basedOn w:val="DefaultParagraphFont"/>
    <w:link w:val="BodyTextIndent2"/>
    <w:uiPriority w:val="99"/>
    <w:semiHidden/>
    <w:rsid w:val="00696C01"/>
    <w:rPr>
      <w:color w:val="000000" w:themeColor="text1"/>
      <w:sz w:val="20"/>
    </w:rPr>
  </w:style>
  <w:style w:type="paragraph" w:styleId="BodyTextIndent3">
    <w:name w:val="Body Text Indent 3"/>
    <w:basedOn w:val="Normal"/>
    <w:link w:val="BodyTextIndent3Char"/>
    <w:uiPriority w:val="99"/>
    <w:semiHidden/>
    <w:rsid w:val="00696C01"/>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96C01"/>
    <w:rPr>
      <w:color w:val="000000" w:themeColor="text1"/>
      <w:sz w:val="16"/>
      <w:szCs w:val="16"/>
    </w:rPr>
  </w:style>
  <w:style w:type="character" w:styleId="BookTitle">
    <w:name w:val="Book Title"/>
    <w:basedOn w:val="DefaultParagraphFont"/>
    <w:uiPriority w:val="33"/>
    <w:semiHidden/>
    <w:qFormat/>
    <w:rsid w:val="00696C01"/>
    <w:rPr>
      <w:b/>
      <w:bCs/>
      <w:i/>
      <w:iCs/>
      <w:spacing w:val="5"/>
    </w:rPr>
  </w:style>
  <w:style w:type="paragraph" w:styleId="Closing">
    <w:name w:val="Closing"/>
    <w:basedOn w:val="Normal"/>
    <w:link w:val="ClosingChar"/>
    <w:uiPriority w:val="99"/>
    <w:semiHidden/>
    <w:rsid w:val="00696C01"/>
    <w:pPr>
      <w:ind w:left="4252"/>
    </w:pPr>
  </w:style>
  <w:style w:type="character" w:customStyle="1" w:styleId="ClosingChar">
    <w:name w:val="Closing Char"/>
    <w:basedOn w:val="DefaultParagraphFont"/>
    <w:link w:val="Closing"/>
    <w:uiPriority w:val="99"/>
    <w:semiHidden/>
    <w:rsid w:val="00696C01"/>
    <w:rPr>
      <w:color w:val="000000" w:themeColor="text1"/>
      <w:sz w:val="20"/>
    </w:rPr>
  </w:style>
  <w:style w:type="table" w:styleId="ColorfulGrid">
    <w:name w:val="Colorful Grid"/>
    <w:basedOn w:val="TableNormal"/>
    <w:uiPriority w:val="73"/>
    <w:semiHidden/>
    <w:rsid w:val="00696C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rsid w:val="00696C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semiHidden/>
    <w:rsid w:val="00696C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semiHidden/>
    <w:rsid w:val="00696C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semiHidden/>
    <w:rsid w:val="00696C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semiHidden/>
    <w:rsid w:val="00696C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semiHidden/>
    <w:rsid w:val="00696C01"/>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ColorfulList">
    <w:name w:val="Colorful List"/>
    <w:basedOn w:val="TableNormal"/>
    <w:uiPriority w:val="72"/>
    <w:semiHidden/>
    <w:rsid w:val="00696C01"/>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rsid w:val="00696C01"/>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semiHidden/>
    <w:rsid w:val="00696C01"/>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semiHidden/>
    <w:rsid w:val="00696C01"/>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semiHidden/>
    <w:rsid w:val="00696C01"/>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semiHidden/>
    <w:rsid w:val="00696C01"/>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semiHidden/>
    <w:rsid w:val="00696C01"/>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Shading">
    <w:name w:val="Colorful Shading"/>
    <w:basedOn w:val="TableNormal"/>
    <w:uiPriority w:val="71"/>
    <w:semiHidden/>
    <w:rsid w:val="00696C01"/>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rsid w:val="00696C01"/>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rsid w:val="00696C01"/>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rsid w:val="00696C01"/>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semiHidden/>
    <w:rsid w:val="00696C01"/>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rsid w:val="00696C01"/>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rsid w:val="00696C01"/>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character" w:styleId="CommentReference">
    <w:name w:val="annotation reference"/>
    <w:basedOn w:val="DefaultParagraphFont"/>
    <w:uiPriority w:val="99"/>
    <w:semiHidden/>
    <w:rsid w:val="00696C01"/>
    <w:rPr>
      <w:sz w:val="16"/>
      <w:szCs w:val="16"/>
    </w:rPr>
  </w:style>
  <w:style w:type="paragraph" w:styleId="CommentSubject">
    <w:name w:val="annotation subject"/>
    <w:basedOn w:val="CommentText"/>
    <w:next w:val="CommentText"/>
    <w:link w:val="CommentSubjectChar"/>
    <w:uiPriority w:val="99"/>
    <w:semiHidden/>
    <w:rsid w:val="00696C01"/>
    <w:rPr>
      <w:b/>
      <w:bCs/>
    </w:rPr>
  </w:style>
  <w:style w:type="character" w:customStyle="1" w:styleId="CommentSubjectChar">
    <w:name w:val="Comment Subject Char"/>
    <w:basedOn w:val="CommentTextChar"/>
    <w:link w:val="CommentSubject"/>
    <w:uiPriority w:val="99"/>
    <w:semiHidden/>
    <w:rsid w:val="00696C01"/>
    <w:rPr>
      <w:b/>
      <w:bCs/>
      <w:color w:val="000000" w:themeColor="text1"/>
      <w:sz w:val="20"/>
      <w:szCs w:val="20"/>
    </w:rPr>
  </w:style>
  <w:style w:type="table" w:styleId="DarkList">
    <w:name w:val="Dark List"/>
    <w:basedOn w:val="TableNormal"/>
    <w:uiPriority w:val="70"/>
    <w:semiHidden/>
    <w:rsid w:val="00696C01"/>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rsid w:val="00696C01"/>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semiHidden/>
    <w:rsid w:val="00696C01"/>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semiHidden/>
    <w:rsid w:val="00696C01"/>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semiHidden/>
    <w:rsid w:val="00696C01"/>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semiHidden/>
    <w:rsid w:val="00696C01"/>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semiHidden/>
    <w:rsid w:val="00696C01"/>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paragraph" w:styleId="Date">
    <w:name w:val="Date"/>
    <w:basedOn w:val="Normal"/>
    <w:next w:val="Normal"/>
    <w:link w:val="DateChar"/>
    <w:uiPriority w:val="99"/>
    <w:semiHidden/>
    <w:rsid w:val="00696C01"/>
  </w:style>
  <w:style w:type="character" w:customStyle="1" w:styleId="DateChar">
    <w:name w:val="Date Char"/>
    <w:basedOn w:val="DefaultParagraphFont"/>
    <w:link w:val="Date"/>
    <w:uiPriority w:val="99"/>
    <w:semiHidden/>
    <w:rsid w:val="00696C01"/>
    <w:rPr>
      <w:color w:val="000000" w:themeColor="text1"/>
      <w:sz w:val="20"/>
    </w:rPr>
  </w:style>
  <w:style w:type="paragraph" w:styleId="DocumentMap">
    <w:name w:val="Document Map"/>
    <w:basedOn w:val="Normal"/>
    <w:link w:val="DocumentMapChar"/>
    <w:uiPriority w:val="99"/>
    <w:semiHidden/>
    <w:rsid w:val="00696C01"/>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96C01"/>
    <w:rPr>
      <w:rFonts w:ascii="Segoe UI" w:hAnsi="Segoe UI" w:cs="Segoe UI"/>
      <w:color w:val="000000" w:themeColor="text1"/>
      <w:sz w:val="16"/>
      <w:szCs w:val="16"/>
    </w:rPr>
  </w:style>
  <w:style w:type="paragraph" w:styleId="E-mailSignature">
    <w:name w:val="E-mail Signature"/>
    <w:basedOn w:val="Normal"/>
    <w:link w:val="E-mailSignatureChar"/>
    <w:uiPriority w:val="99"/>
    <w:semiHidden/>
    <w:rsid w:val="00696C01"/>
  </w:style>
  <w:style w:type="character" w:customStyle="1" w:styleId="E-mailSignatureChar">
    <w:name w:val="E-mail Signature Char"/>
    <w:basedOn w:val="DefaultParagraphFont"/>
    <w:link w:val="E-mailSignature"/>
    <w:uiPriority w:val="99"/>
    <w:semiHidden/>
    <w:rsid w:val="00696C01"/>
    <w:rPr>
      <w:color w:val="000000" w:themeColor="text1"/>
      <w:sz w:val="20"/>
    </w:rPr>
  </w:style>
  <w:style w:type="character" w:styleId="Emphasis">
    <w:name w:val="Emphasis"/>
    <w:basedOn w:val="DefaultParagraphFont"/>
    <w:uiPriority w:val="20"/>
    <w:qFormat/>
    <w:rsid w:val="00696C01"/>
    <w:rPr>
      <w:i/>
      <w:iCs/>
    </w:rPr>
  </w:style>
  <w:style w:type="character" w:styleId="EndnoteReference">
    <w:name w:val="endnote reference"/>
    <w:basedOn w:val="DefaultParagraphFont"/>
    <w:uiPriority w:val="99"/>
    <w:semiHidden/>
    <w:rsid w:val="00696C01"/>
    <w:rPr>
      <w:vertAlign w:val="superscript"/>
    </w:rPr>
  </w:style>
  <w:style w:type="paragraph" w:styleId="EnvelopeAddress">
    <w:name w:val="envelope address"/>
    <w:basedOn w:val="Normal"/>
    <w:uiPriority w:val="99"/>
    <w:semiHidden/>
    <w:rsid w:val="00696C01"/>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rsid w:val="00696C01"/>
    <w:rPr>
      <w:rFonts w:asciiTheme="majorHAnsi" w:eastAsiaTheme="majorEastAsia" w:hAnsiTheme="majorHAnsi" w:cstheme="majorBidi"/>
      <w:szCs w:val="20"/>
    </w:rPr>
  </w:style>
  <w:style w:type="character" w:styleId="FollowedHyperlink">
    <w:name w:val="FollowedHyperlink"/>
    <w:basedOn w:val="DefaultParagraphFont"/>
    <w:uiPriority w:val="99"/>
    <w:semiHidden/>
    <w:rsid w:val="00696C01"/>
    <w:rPr>
      <w:color w:val="800080" w:themeColor="followedHyperlink"/>
      <w:u w:val="single"/>
    </w:rPr>
  </w:style>
  <w:style w:type="character" w:styleId="FootnoteReference">
    <w:name w:val="footnote reference"/>
    <w:basedOn w:val="DefaultParagraphFont"/>
    <w:uiPriority w:val="99"/>
    <w:semiHidden/>
    <w:rsid w:val="00696C01"/>
    <w:rPr>
      <w:vertAlign w:val="superscript"/>
    </w:rPr>
  </w:style>
  <w:style w:type="table" w:styleId="GridTable1Light">
    <w:name w:val="Grid Table 1 Light"/>
    <w:basedOn w:val="TableNormal"/>
    <w:uiPriority w:val="46"/>
    <w:rsid w:val="00696C01"/>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696C01"/>
    <w:pPr>
      <w:spacing w:after="0" w:line="240" w:lineRule="auto"/>
    </w:p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696C01"/>
    <w:pPr>
      <w:spacing w:after="0" w:line="240" w:lineRule="auto"/>
    </w:pPr>
    <w:tblPr>
      <w:tblStyleRowBandSize w:val="1"/>
      <w:tblStyleColBandSize w:val="1"/>
      <w:tblBorders>
        <w:top w:val="single" w:sz="4" w:space="0" w:color="E5B8B7" w:themeColor="accent2" w:themeTint="66"/>
        <w:left w:val="single" w:sz="4" w:space="0" w:color="E5B8B7" w:themeColor="accent2" w:themeTint="66"/>
        <w:bottom w:val="single" w:sz="4" w:space="0" w:color="E5B8B7" w:themeColor="accent2" w:themeTint="66"/>
        <w:right w:val="single" w:sz="4" w:space="0" w:color="E5B8B7" w:themeColor="accent2" w:themeTint="66"/>
        <w:insideH w:val="single" w:sz="4" w:space="0" w:color="E5B8B7" w:themeColor="accent2" w:themeTint="66"/>
        <w:insideV w:val="single" w:sz="4" w:space="0" w:color="E5B8B7" w:themeColor="accent2" w:themeTint="66"/>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2" w:space="0" w:color="D99594"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696C01"/>
    <w:pPr>
      <w:spacing w:after="0" w:line="240" w:lineRule="auto"/>
    </w:pPr>
    <w:tblPr>
      <w:tblStyleRowBandSize w:val="1"/>
      <w:tblStyleColBandSize w:val="1"/>
      <w:tblBorders>
        <w:top w:val="single" w:sz="4" w:space="0" w:color="D6E3BC" w:themeColor="accent3" w:themeTint="66"/>
        <w:left w:val="single" w:sz="4" w:space="0" w:color="D6E3BC" w:themeColor="accent3" w:themeTint="66"/>
        <w:bottom w:val="single" w:sz="4" w:space="0" w:color="D6E3BC" w:themeColor="accent3" w:themeTint="66"/>
        <w:right w:val="single" w:sz="4" w:space="0" w:color="D6E3BC" w:themeColor="accent3" w:themeTint="66"/>
        <w:insideH w:val="single" w:sz="4" w:space="0" w:color="D6E3BC" w:themeColor="accent3" w:themeTint="66"/>
        <w:insideV w:val="single" w:sz="4" w:space="0" w:color="D6E3BC" w:themeColor="accent3" w:themeTint="66"/>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2" w:space="0" w:color="C2D69B"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696C01"/>
    <w:pPr>
      <w:spacing w:after="0" w:line="240" w:lineRule="auto"/>
    </w:pPr>
    <w:tblPr>
      <w:tblStyleRowBandSize w:val="1"/>
      <w:tblStyleColBandSize w:val="1"/>
      <w:tblBorders>
        <w:top w:val="single" w:sz="4" w:space="0" w:color="CCC0D9" w:themeColor="accent4" w:themeTint="66"/>
        <w:left w:val="single" w:sz="4" w:space="0" w:color="CCC0D9" w:themeColor="accent4" w:themeTint="66"/>
        <w:bottom w:val="single" w:sz="4" w:space="0" w:color="CCC0D9" w:themeColor="accent4" w:themeTint="66"/>
        <w:right w:val="single" w:sz="4" w:space="0" w:color="CCC0D9" w:themeColor="accent4" w:themeTint="66"/>
        <w:insideH w:val="single" w:sz="4" w:space="0" w:color="CCC0D9" w:themeColor="accent4" w:themeTint="66"/>
        <w:insideV w:val="single" w:sz="4" w:space="0" w:color="CCC0D9" w:themeColor="accent4" w:themeTint="66"/>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2" w:space="0" w:color="B2A1C7"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696C01"/>
    <w:pPr>
      <w:spacing w:after="0" w:line="240" w:lineRule="auto"/>
    </w:pPr>
    <w:tblPr>
      <w:tblStyleRowBandSize w:val="1"/>
      <w:tblStyleColBandSize w:val="1"/>
      <w:tblBorders>
        <w:top w:val="single" w:sz="4" w:space="0" w:color="B6DDE8" w:themeColor="accent5" w:themeTint="66"/>
        <w:left w:val="single" w:sz="4" w:space="0" w:color="B6DDE8" w:themeColor="accent5" w:themeTint="66"/>
        <w:bottom w:val="single" w:sz="4" w:space="0" w:color="B6DDE8" w:themeColor="accent5" w:themeTint="66"/>
        <w:right w:val="single" w:sz="4" w:space="0" w:color="B6DDE8" w:themeColor="accent5" w:themeTint="66"/>
        <w:insideH w:val="single" w:sz="4" w:space="0" w:color="B6DDE8" w:themeColor="accent5" w:themeTint="66"/>
        <w:insideV w:val="single" w:sz="4" w:space="0" w:color="B6DDE8" w:themeColor="accent5" w:themeTint="66"/>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2" w:space="0" w:color="92CDDC"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696C01"/>
    <w:pPr>
      <w:spacing w:after="0" w:line="240" w:lineRule="auto"/>
    </w:pPr>
    <w:tblPr>
      <w:tblStyleRowBandSize w:val="1"/>
      <w:tblStyleColBandSize w:val="1"/>
      <w:tblBorders>
        <w:top w:val="single" w:sz="4" w:space="0" w:color="FBD4B4" w:themeColor="accent6" w:themeTint="66"/>
        <w:left w:val="single" w:sz="4" w:space="0" w:color="FBD4B4" w:themeColor="accent6" w:themeTint="66"/>
        <w:bottom w:val="single" w:sz="4" w:space="0" w:color="FBD4B4" w:themeColor="accent6" w:themeTint="66"/>
        <w:right w:val="single" w:sz="4" w:space="0" w:color="FBD4B4" w:themeColor="accent6" w:themeTint="66"/>
        <w:insideH w:val="single" w:sz="4" w:space="0" w:color="FBD4B4" w:themeColor="accent6" w:themeTint="66"/>
        <w:insideV w:val="single" w:sz="4" w:space="0" w:color="FBD4B4" w:themeColor="accent6" w:themeTint="66"/>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2" w:space="0" w:color="FABF8F"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696C01"/>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696C01"/>
    <w:pPr>
      <w:spacing w:after="0" w:line="240" w:lineRule="auto"/>
    </w:pPr>
    <w:tblPr>
      <w:tblStyleRowBandSize w:val="1"/>
      <w:tblStyleColBandSize w:val="1"/>
      <w:tblBorders>
        <w:top w:val="single" w:sz="2" w:space="0" w:color="95B3D7" w:themeColor="accent1" w:themeTint="99"/>
        <w:bottom w:val="single" w:sz="2" w:space="0" w:color="95B3D7" w:themeColor="accent1" w:themeTint="99"/>
        <w:insideH w:val="single" w:sz="2" w:space="0" w:color="95B3D7" w:themeColor="accent1" w:themeTint="99"/>
        <w:insideV w:val="single" w:sz="2" w:space="0" w:color="95B3D7" w:themeColor="accent1" w:themeTint="99"/>
      </w:tblBorders>
    </w:tblPr>
    <w:tblStylePr w:type="firstRow">
      <w:rPr>
        <w:b/>
        <w:bCs/>
      </w:rPr>
      <w:tblPr/>
      <w:tcPr>
        <w:tcBorders>
          <w:top w:val="nil"/>
          <w:bottom w:val="single" w:sz="12" w:space="0" w:color="95B3D7" w:themeColor="accent1" w:themeTint="99"/>
          <w:insideH w:val="nil"/>
          <w:insideV w:val="nil"/>
        </w:tcBorders>
        <w:shd w:val="clear" w:color="auto" w:fill="FFFFFF" w:themeFill="background1"/>
      </w:tcPr>
    </w:tblStylePr>
    <w:tblStylePr w:type="lastRow">
      <w:rPr>
        <w:b/>
        <w:bCs/>
      </w:rPr>
      <w:tblPr/>
      <w:tcPr>
        <w:tcBorders>
          <w:top w:val="double" w:sz="2" w:space="0" w:color="95B3D7"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2-Accent2">
    <w:name w:val="Grid Table 2 Accent 2"/>
    <w:basedOn w:val="TableNormal"/>
    <w:uiPriority w:val="47"/>
    <w:rsid w:val="00696C01"/>
    <w:pPr>
      <w:spacing w:after="0" w:line="240" w:lineRule="auto"/>
    </w:pPr>
    <w:tblPr>
      <w:tblStyleRowBandSize w:val="1"/>
      <w:tblStyleColBandSize w:val="1"/>
      <w:tblBorders>
        <w:top w:val="single" w:sz="2" w:space="0" w:color="D99594" w:themeColor="accent2" w:themeTint="99"/>
        <w:bottom w:val="single" w:sz="2" w:space="0" w:color="D99594" w:themeColor="accent2" w:themeTint="99"/>
        <w:insideH w:val="single" w:sz="2" w:space="0" w:color="D99594" w:themeColor="accent2" w:themeTint="99"/>
        <w:insideV w:val="single" w:sz="2" w:space="0" w:color="D99594" w:themeColor="accent2" w:themeTint="99"/>
      </w:tblBorders>
    </w:tblPr>
    <w:tblStylePr w:type="firstRow">
      <w:rPr>
        <w:b/>
        <w:bCs/>
      </w:rPr>
      <w:tblPr/>
      <w:tcPr>
        <w:tcBorders>
          <w:top w:val="nil"/>
          <w:bottom w:val="single" w:sz="12" w:space="0" w:color="D99594" w:themeColor="accent2" w:themeTint="99"/>
          <w:insideH w:val="nil"/>
          <w:insideV w:val="nil"/>
        </w:tcBorders>
        <w:shd w:val="clear" w:color="auto" w:fill="FFFFFF" w:themeFill="background1"/>
      </w:tcPr>
    </w:tblStylePr>
    <w:tblStylePr w:type="lastRow">
      <w:rPr>
        <w:b/>
        <w:bCs/>
      </w:rPr>
      <w:tblPr/>
      <w:tcPr>
        <w:tcBorders>
          <w:top w:val="double" w:sz="2" w:space="0" w:color="D99594"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2-Accent3">
    <w:name w:val="Grid Table 2 Accent 3"/>
    <w:basedOn w:val="TableNormal"/>
    <w:uiPriority w:val="47"/>
    <w:rsid w:val="00696C01"/>
    <w:pPr>
      <w:spacing w:after="0" w:line="240" w:lineRule="auto"/>
    </w:pPr>
    <w:tblPr>
      <w:tblStyleRowBandSize w:val="1"/>
      <w:tblStyleColBandSize w:val="1"/>
      <w:tblBorders>
        <w:top w:val="single" w:sz="2" w:space="0" w:color="C2D69B" w:themeColor="accent3" w:themeTint="99"/>
        <w:bottom w:val="single" w:sz="2" w:space="0" w:color="C2D69B" w:themeColor="accent3" w:themeTint="99"/>
        <w:insideH w:val="single" w:sz="2" w:space="0" w:color="C2D69B" w:themeColor="accent3" w:themeTint="99"/>
        <w:insideV w:val="single" w:sz="2" w:space="0" w:color="C2D69B" w:themeColor="accent3" w:themeTint="99"/>
      </w:tblBorders>
    </w:tblPr>
    <w:tblStylePr w:type="firstRow">
      <w:rPr>
        <w:b/>
        <w:bCs/>
      </w:rPr>
      <w:tblPr/>
      <w:tcPr>
        <w:tcBorders>
          <w:top w:val="nil"/>
          <w:bottom w:val="single" w:sz="12" w:space="0" w:color="C2D69B" w:themeColor="accent3" w:themeTint="99"/>
          <w:insideH w:val="nil"/>
          <w:insideV w:val="nil"/>
        </w:tcBorders>
        <w:shd w:val="clear" w:color="auto" w:fill="FFFFFF" w:themeFill="background1"/>
      </w:tcPr>
    </w:tblStylePr>
    <w:tblStylePr w:type="lastRow">
      <w:rPr>
        <w:b/>
        <w:bCs/>
      </w:rPr>
      <w:tblPr/>
      <w:tcPr>
        <w:tcBorders>
          <w:top w:val="double" w:sz="2" w:space="0" w:color="C2D69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2-Accent4">
    <w:name w:val="Grid Table 2 Accent 4"/>
    <w:basedOn w:val="TableNormal"/>
    <w:uiPriority w:val="47"/>
    <w:rsid w:val="00696C01"/>
    <w:pPr>
      <w:spacing w:after="0" w:line="240" w:lineRule="auto"/>
    </w:pPr>
    <w:tblPr>
      <w:tblStyleRowBandSize w:val="1"/>
      <w:tblStyleColBandSize w:val="1"/>
      <w:tblBorders>
        <w:top w:val="single" w:sz="2" w:space="0" w:color="B2A1C7" w:themeColor="accent4" w:themeTint="99"/>
        <w:bottom w:val="single" w:sz="2" w:space="0" w:color="B2A1C7" w:themeColor="accent4" w:themeTint="99"/>
        <w:insideH w:val="single" w:sz="2" w:space="0" w:color="B2A1C7" w:themeColor="accent4" w:themeTint="99"/>
        <w:insideV w:val="single" w:sz="2" w:space="0" w:color="B2A1C7" w:themeColor="accent4" w:themeTint="99"/>
      </w:tblBorders>
    </w:tblPr>
    <w:tblStylePr w:type="firstRow">
      <w:rPr>
        <w:b/>
        <w:bCs/>
      </w:rPr>
      <w:tblPr/>
      <w:tcPr>
        <w:tcBorders>
          <w:top w:val="nil"/>
          <w:bottom w:val="single" w:sz="12" w:space="0" w:color="B2A1C7" w:themeColor="accent4" w:themeTint="99"/>
          <w:insideH w:val="nil"/>
          <w:insideV w:val="nil"/>
        </w:tcBorders>
        <w:shd w:val="clear" w:color="auto" w:fill="FFFFFF" w:themeFill="background1"/>
      </w:tcPr>
    </w:tblStylePr>
    <w:tblStylePr w:type="lastRow">
      <w:rPr>
        <w:b/>
        <w:bCs/>
      </w:rPr>
      <w:tblPr/>
      <w:tcPr>
        <w:tcBorders>
          <w:top w:val="double" w:sz="2" w:space="0" w:color="B2A1C7"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2-Accent5">
    <w:name w:val="Grid Table 2 Accent 5"/>
    <w:basedOn w:val="TableNormal"/>
    <w:uiPriority w:val="47"/>
    <w:rsid w:val="00696C01"/>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2-Accent6">
    <w:name w:val="Grid Table 2 Accent 6"/>
    <w:basedOn w:val="TableNormal"/>
    <w:uiPriority w:val="47"/>
    <w:rsid w:val="00696C01"/>
    <w:pPr>
      <w:spacing w:after="0" w:line="240" w:lineRule="auto"/>
    </w:pPr>
    <w:tblPr>
      <w:tblStyleRowBandSize w:val="1"/>
      <w:tblStyleColBandSize w:val="1"/>
      <w:tblBorders>
        <w:top w:val="single" w:sz="2" w:space="0" w:color="FABF8F" w:themeColor="accent6" w:themeTint="99"/>
        <w:bottom w:val="single" w:sz="2" w:space="0" w:color="FABF8F" w:themeColor="accent6" w:themeTint="99"/>
        <w:insideH w:val="single" w:sz="2" w:space="0" w:color="FABF8F" w:themeColor="accent6" w:themeTint="99"/>
        <w:insideV w:val="single" w:sz="2" w:space="0" w:color="FABF8F" w:themeColor="accent6" w:themeTint="99"/>
      </w:tblBorders>
    </w:tblPr>
    <w:tblStylePr w:type="firstRow">
      <w:rPr>
        <w:b/>
        <w:bCs/>
      </w:rPr>
      <w:tblPr/>
      <w:tcPr>
        <w:tcBorders>
          <w:top w:val="nil"/>
          <w:bottom w:val="single" w:sz="12" w:space="0" w:color="FABF8F" w:themeColor="accent6" w:themeTint="99"/>
          <w:insideH w:val="nil"/>
          <w:insideV w:val="nil"/>
        </w:tcBorders>
        <w:shd w:val="clear" w:color="auto" w:fill="FFFFFF" w:themeFill="background1"/>
      </w:tcPr>
    </w:tblStylePr>
    <w:tblStylePr w:type="lastRow">
      <w:rPr>
        <w:b/>
        <w:bCs/>
      </w:rPr>
      <w:tblPr/>
      <w:tcPr>
        <w:tcBorders>
          <w:top w:val="double" w:sz="2" w:space="0" w:color="FABF8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3">
    <w:name w:val="Grid Table 3"/>
    <w:basedOn w:val="TableNormal"/>
    <w:uiPriority w:val="48"/>
    <w:rsid w:val="00696C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696C0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3-Accent2">
    <w:name w:val="Grid Table 3 Accent 2"/>
    <w:basedOn w:val="TableNormal"/>
    <w:uiPriority w:val="48"/>
    <w:rsid w:val="00696C0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3-Accent3">
    <w:name w:val="Grid Table 3 Accent 3"/>
    <w:basedOn w:val="TableNormal"/>
    <w:uiPriority w:val="48"/>
    <w:rsid w:val="00696C0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3-Accent4">
    <w:name w:val="Grid Table 3 Accent 4"/>
    <w:basedOn w:val="TableNormal"/>
    <w:uiPriority w:val="48"/>
    <w:rsid w:val="00696C0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3-Accent5">
    <w:name w:val="Grid Table 3 Accent 5"/>
    <w:basedOn w:val="TableNormal"/>
    <w:uiPriority w:val="48"/>
    <w:rsid w:val="00696C0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3-Accent6">
    <w:name w:val="Grid Table 3 Accent 6"/>
    <w:basedOn w:val="TableNormal"/>
    <w:uiPriority w:val="48"/>
    <w:rsid w:val="00696C0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table" w:styleId="GridTable4">
    <w:name w:val="Grid Table 4"/>
    <w:basedOn w:val="TableNormal"/>
    <w:uiPriority w:val="49"/>
    <w:rsid w:val="00696C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696C0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4-Accent2">
    <w:name w:val="Grid Table 4 Accent 2"/>
    <w:basedOn w:val="TableNormal"/>
    <w:uiPriority w:val="49"/>
    <w:rsid w:val="00696C0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insideV w:val="nil"/>
        </w:tcBorders>
        <w:shd w:val="clear" w:color="auto" w:fill="C0504D" w:themeFill="accent2"/>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4-Accent3">
    <w:name w:val="Grid Table 4 Accent 3"/>
    <w:basedOn w:val="TableNormal"/>
    <w:uiPriority w:val="49"/>
    <w:rsid w:val="00696C0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4-Accent4">
    <w:name w:val="Grid Table 4 Accent 4"/>
    <w:basedOn w:val="TableNormal"/>
    <w:uiPriority w:val="49"/>
    <w:rsid w:val="00696C0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insideV w:val="nil"/>
        </w:tcBorders>
        <w:shd w:val="clear" w:color="auto" w:fill="8064A2" w:themeFill="accent4"/>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4-Accent5">
    <w:name w:val="Grid Table 4 Accent 5"/>
    <w:basedOn w:val="TableNormal"/>
    <w:uiPriority w:val="49"/>
    <w:rsid w:val="00696C0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4-Accent6">
    <w:name w:val="Grid Table 4 Accent 6"/>
    <w:basedOn w:val="TableNormal"/>
    <w:uiPriority w:val="49"/>
    <w:rsid w:val="00696C0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5Dark">
    <w:name w:val="Grid Table 5 Dark"/>
    <w:basedOn w:val="TableNormal"/>
    <w:uiPriority w:val="50"/>
    <w:rsid w:val="00696C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696C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2">
    <w:name w:val="Grid Table 5 Dark Accent 2"/>
    <w:basedOn w:val="TableNormal"/>
    <w:uiPriority w:val="50"/>
    <w:rsid w:val="00696C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DBDB"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C0504D"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C0504D"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C0504D"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C0504D" w:themeFill="accent2"/>
      </w:tcPr>
    </w:tblStylePr>
    <w:tblStylePr w:type="band1Vert">
      <w:tblPr/>
      <w:tcPr>
        <w:shd w:val="clear" w:color="auto" w:fill="E5B8B7" w:themeFill="accent2" w:themeFillTint="66"/>
      </w:tcPr>
    </w:tblStylePr>
    <w:tblStylePr w:type="band1Horz">
      <w:tblPr/>
      <w:tcPr>
        <w:shd w:val="clear" w:color="auto" w:fill="E5B8B7" w:themeFill="accent2" w:themeFillTint="66"/>
      </w:tcPr>
    </w:tblStylePr>
  </w:style>
  <w:style w:type="table" w:styleId="GridTable5Dark-Accent3">
    <w:name w:val="Grid Table 5 Dark Accent 3"/>
    <w:basedOn w:val="TableNormal"/>
    <w:uiPriority w:val="50"/>
    <w:rsid w:val="00696C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AF1D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BBB59"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BBB59"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BBB59"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BBB59" w:themeFill="accent3"/>
      </w:tcPr>
    </w:tblStylePr>
    <w:tblStylePr w:type="band1Vert">
      <w:tblPr/>
      <w:tcPr>
        <w:shd w:val="clear" w:color="auto" w:fill="D6E3BC" w:themeFill="accent3" w:themeFillTint="66"/>
      </w:tcPr>
    </w:tblStylePr>
    <w:tblStylePr w:type="band1Horz">
      <w:tblPr/>
      <w:tcPr>
        <w:shd w:val="clear" w:color="auto" w:fill="D6E3BC" w:themeFill="accent3" w:themeFillTint="66"/>
      </w:tcPr>
    </w:tblStylePr>
  </w:style>
  <w:style w:type="table" w:styleId="GridTable5Dark-Accent4">
    <w:name w:val="Grid Table 5 Dark Accent 4"/>
    <w:basedOn w:val="TableNormal"/>
    <w:uiPriority w:val="50"/>
    <w:rsid w:val="00696C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5DFE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8064A2"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8064A2"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8064A2"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8064A2" w:themeFill="accent4"/>
      </w:tcPr>
    </w:tblStylePr>
    <w:tblStylePr w:type="band1Vert">
      <w:tblPr/>
      <w:tcPr>
        <w:shd w:val="clear" w:color="auto" w:fill="CCC0D9" w:themeFill="accent4" w:themeFillTint="66"/>
      </w:tcPr>
    </w:tblStylePr>
    <w:tblStylePr w:type="band1Horz">
      <w:tblPr/>
      <w:tcPr>
        <w:shd w:val="clear" w:color="auto" w:fill="CCC0D9" w:themeFill="accent4" w:themeFillTint="66"/>
      </w:tcPr>
    </w:tblStylePr>
  </w:style>
  <w:style w:type="table" w:styleId="GridTable5Dark-Accent5">
    <w:name w:val="Grid Table 5 Dark Accent 5"/>
    <w:basedOn w:val="TableNormal"/>
    <w:uiPriority w:val="50"/>
    <w:rsid w:val="00696C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GridTable5Dark-Accent6">
    <w:name w:val="Grid Table 5 Dark Accent 6"/>
    <w:basedOn w:val="TableNormal"/>
    <w:uiPriority w:val="50"/>
    <w:rsid w:val="00696C01"/>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DE9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7964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7964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7964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79646" w:themeFill="accent6"/>
      </w:tcPr>
    </w:tblStylePr>
    <w:tblStylePr w:type="band1Vert">
      <w:tblPr/>
      <w:tcPr>
        <w:shd w:val="clear" w:color="auto" w:fill="FBD4B4" w:themeFill="accent6" w:themeFillTint="66"/>
      </w:tcPr>
    </w:tblStylePr>
    <w:tblStylePr w:type="band1Horz">
      <w:tblPr/>
      <w:tcPr>
        <w:shd w:val="clear" w:color="auto" w:fill="FBD4B4" w:themeFill="accent6" w:themeFillTint="66"/>
      </w:tcPr>
    </w:tblStylePr>
  </w:style>
  <w:style w:type="table" w:styleId="GridTable6Colorful">
    <w:name w:val="Grid Table 6 Colorful"/>
    <w:basedOn w:val="TableNormal"/>
    <w:uiPriority w:val="51"/>
    <w:rsid w:val="00696C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696C0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GridTable6Colorful-Accent2">
    <w:name w:val="Grid Table 6 Colorful Accent 2"/>
    <w:basedOn w:val="TableNormal"/>
    <w:uiPriority w:val="51"/>
    <w:rsid w:val="00696C0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bottom w:val="single" w:sz="12" w:space="0" w:color="D99594" w:themeColor="accent2" w:themeTint="99"/>
        </w:tcBorders>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GridTable6Colorful-Accent3">
    <w:name w:val="Grid Table 6 Colorful Accent 3"/>
    <w:basedOn w:val="TableNormal"/>
    <w:uiPriority w:val="51"/>
    <w:rsid w:val="00696C0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bottom w:val="single" w:sz="12" w:space="0" w:color="C2D69B" w:themeColor="accent3" w:themeTint="99"/>
        </w:tcBorders>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GridTable6Colorful-Accent4">
    <w:name w:val="Grid Table 6 Colorful Accent 4"/>
    <w:basedOn w:val="TableNormal"/>
    <w:uiPriority w:val="51"/>
    <w:rsid w:val="00696C0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bottom w:val="single" w:sz="12" w:space="0" w:color="B2A1C7" w:themeColor="accent4" w:themeTint="99"/>
        </w:tcBorders>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GridTable6Colorful-Accent5">
    <w:name w:val="Grid Table 6 Colorful Accent 5"/>
    <w:basedOn w:val="TableNormal"/>
    <w:uiPriority w:val="51"/>
    <w:rsid w:val="00696C0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bottom w:val="single" w:sz="12" w:space="0" w:color="92CDDC" w:themeColor="accent5" w:themeTint="99"/>
        </w:tcBorders>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GridTable6Colorful-Accent6">
    <w:name w:val="Grid Table 6 Colorful Accent 6"/>
    <w:basedOn w:val="TableNormal"/>
    <w:uiPriority w:val="51"/>
    <w:rsid w:val="00696C0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bottom w:val="single" w:sz="12" w:space="0" w:color="FABF8F" w:themeColor="accent6" w:themeTint="99"/>
        </w:tcBorders>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GridTable7Colorful">
    <w:name w:val="Grid Table 7 Colorful"/>
    <w:basedOn w:val="TableNormal"/>
    <w:uiPriority w:val="52"/>
    <w:rsid w:val="00696C01"/>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696C01"/>
    <w:pPr>
      <w:spacing w:after="0" w:line="240" w:lineRule="auto"/>
    </w:pPr>
    <w:rPr>
      <w:color w:val="365F91" w:themeColor="accent1" w:themeShade="BF"/>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bottom w:val="single" w:sz="4" w:space="0" w:color="95B3D7" w:themeColor="accent1" w:themeTint="99"/>
        </w:tcBorders>
      </w:tcPr>
    </w:tblStylePr>
    <w:tblStylePr w:type="nwCell">
      <w:tblPr/>
      <w:tcPr>
        <w:tcBorders>
          <w:bottom w:val="single" w:sz="4" w:space="0" w:color="95B3D7" w:themeColor="accent1" w:themeTint="99"/>
        </w:tcBorders>
      </w:tcPr>
    </w:tblStylePr>
    <w:tblStylePr w:type="seCell">
      <w:tblPr/>
      <w:tcPr>
        <w:tcBorders>
          <w:top w:val="single" w:sz="4" w:space="0" w:color="95B3D7" w:themeColor="accent1" w:themeTint="99"/>
        </w:tcBorders>
      </w:tcPr>
    </w:tblStylePr>
    <w:tblStylePr w:type="swCell">
      <w:tblPr/>
      <w:tcPr>
        <w:tcBorders>
          <w:top w:val="single" w:sz="4" w:space="0" w:color="95B3D7" w:themeColor="accent1" w:themeTint="99"/>
        </w:tcBorders>
      </w:tcPr>
    </w:tblStylePr>
  </w:style>
  <w:style w:type="table" w:styleId="GridTable7Colorful-Accent2">
    <w:name w:val="Grid Table 7 Colorful Accent 2"/>
    <w:basedOn w:val="TableNormal"/>
    <w:uiPriority w:val="52"/>
    <w:rsid w:val="00696C01"/>
    <w:pPr>
      <w:spacing w:after="0" w:line="240" w:lineRule="auto"/>
    </w:pPr>
    <w:rPr>
      <w:color w:val="943634" w:themeColor="accent2" w:themeShade="BF"/>
    </w:r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insideV w:val="single" w:sz="4" w:space="0" w:color="D99594"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bottom w:val="single" w:sz="4" w:space="0" w:color="D99594" w:themeColor="accent2" w:themeTint="99"/>
        </w:tcBorders>
      </w:tcPr>
    </w:tblStylePr>
    <w:tblStylePr w:type="nwCell">
      <w:tblPr/>
      <w:tcPr>
        <w:tcBorders>
          <w:bottom w:val="single" w:sz="4" w:space="0" w:color="D99594" w:themeColor="accent2" w:themeTint="99"/>
        </w:tcBorders>
      </w:tcPr>
    </w:tblStylePr>
    <w:tblStylePr w:type="seCell">
      <w:tblPr/>
      <w:tcPr>
        <w:tcBorders>
          <w:top w:val="single" w:sz="4" w:space="0" w:color="D99594" w:themeColor="accent2" w:themeTint="99"/>
        </w:tcBorders>
      </w:tcPr>
    </w:tblStylePr>
    <w:tblStylePr w:type="swCell">
      <w:tblPr/>
      <w:tcPr>
        <w:tcBorders>
          <w:top w:val="single" w:sz="4" w:space="0" w:color="D99594" w:themeColor="accent2" w:themeTint="99"/>
        </w:tcBorders>
      </w:tcPr>
    </w:tblStylePr>
  </w:style>
  <w:style w:type="table" w:styleId="GridTable7Colorful-Accent3">
    <w:name w:val="Grid Table 7 Colorful Accent 3"/>
    <w:basedOn w:val="TableNormal"/>
    <w:uiPriority w:val="52"/>
    <w:rsid w:val="00696C01"/>
    <w:pPr>
      <w:spacing w:after="0" w:line="240" w:lineRule="auto"/>
    </w:pPr>
    <w:rPr>
      <w:color w:val="76923C" w:themeColor="accent3" w:themeShade="BF"/>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bottom w:val="single" w:sz="4" w:space="0" w:color="C2D69B" w:themeColor="accent3" w:themeTint="99"/>
        </w:tcBorders>
      </w:tcPr>
    </w:tblStylePr>
    <w:tblStylePr w:type="nwCell">
      <w:tblPr/>
      <w:tcPr>
        <w:tcBorders>
          <w:bottom w:val="single" w:sz="4" w:space="0" w:color="C2D69B" w:themeColor="accent3" w:themeTint="99"/>
        </w:tcBorders>
      </w:tcPr>
    </w:tblStylePr>
    <w:tblStylePr w:type="seCell">
      <w:tblPr/>
      <w:tcPr>
        <w:tcBorders>
          <w:top w:val="single" w:sz="4" w:space="0" w:color="C2D69B" w:themeColor="accent3" w:themeTint="99"/>
        </w:tcBorders>
      </w:tcPr>
    </w:tblStylePr>
    <w:tblStylePr w:type="swCell">
      <w:tblPr/>
      <w:tcPr>
        <w:tcBorders>
          <w:top w:val="single" w:sz="4" w:space="0" w:color="C2D69B" w:themeColor="accent3" w:themeTint="99"/>
        </w:tcBorders>
      </w:tcPr>
    </w:tblStylePr>
  </w:style>
  <w:style w:type="table" w:styleId="GridTable7Colorful-Accent4">
    <w:name w:val="Grid Table 7 Colorful Accent 4"/>
    <w:basedOn w:val="TableNormal"/>
    <w:uiPriority w:val="52"/>
    <w:rsid w:val="00696C01"/>
    <w:pPr>
      <w:spacing w:after="0" w:line="240" w:lineRule="auto"/>
    </w:pPr>
    <w:rPr>
      <w:color w:val="5F497A" w:themeColor="accent4" w:themeShade="BF"/>
    </w:r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insideV w:val="single" w:sz="4" w:space="0" w:color="B2A1C7"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bottom w:val="single" w:sz="4" w:space="0" w:color="B2A1C7" w:themeColor="accent4" w:themeTint="99"/>
        </w:tcBorders>
      </w:tcPr>
    </w:tblStylePr>
    <w:tblStylePr w:type="nwCell">
      <w:tblPr/>
      <w:tcPr>
        <w:tcBorders>
          <w:bottom w:val="single" w:sz="4" w:space="0" w:color="B2A1C7" w:themeColor="accent4" w:themeTint="99"/>
        </w:tcBorders>
      </w:tcPr>
    </w:tblStylePr>
    <w:tblStylePr w:type="seCell">
      <w:tblPr/>
      <w:tcPr>
        <w:tcBorders>
          <w:top w:val="single" w:sz="4" w:space="0" w:color="B2A1C7" w:themeColor="accent4" w:themeTint="99"/>
        </w:tcBorders>
      </w:tcPr>
    </w:tblStylePr>
    <w:tblStylePr w:type="swCell">
      <w:tblPr/>
      <w:tcPr>
        <w:tcBorders>
          <w:top w:val="single" w:sz="4" w:space="0" w:color="B2A1C7" w:themeColor="accent4" w:themeTint="99"/>
        </w:tcBorders>
      </w:tcPr>
    </w:tblStylePr>
  </w:style>
  <w:style w:type="table" w:styleId="GridTable7Colorful-Accent5">
    <w:name w:val="Grid Table 7 Colorful Accent 5"/>
    <w:basedOn w:val="TableNormal"/>
    <w:uiPriority w:val="52"/>
    <w:rsid w:val="00696C01"/>
    <w:pPr>
      <w:spacing w:after="0" w:line="240" w:lineRule="auto"/>
    </w:pPr>
    <w:rPr>
      <w:color w:val="31849B" w:themeColor="accent5" w:themeShade="BF"/>
    </w:r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bottom w:val="single" w:sz="4" w:space="0" w:color="92CDDC" w:themeColor="accent5" w:themeTint="99"/>
        </w:tcBorders>
      </w:tcPr>
    </w:tblStylePr>
    <w:tblStylePr w:type="nwCell">
      <w:tblPr/>
      <w:tcPr>
        <w:tcBorders>
          <w:bottom w:val="single" w:sz="4" w:space="0" w:color="92CDDC" w:themeColor="accent5" w:themeTint="99"/>
        </w:tcBorders>
      </w:tcPr>
    </w:tblStylePr>
    <w:tblStylePr w:type="seCell">
      <w:tblPr/>
      <w:tcPr>
        <w:tcBorders>
          <w:top w:val="single" w:sz="4" w:space="0" w:color="92CDDC" w:themeColor="accent5" w:themeTint="99"/>
        </w:tcBorders>
      </w:tcPr>
    </w:tblStylePr>
    <w:tblStylePr w:type="swCell">
      <w:tblPr/>
      <w:tcPr>
        <w:tcBorders>
          <w:top w:val="single" w:sz="4" w:space="0" w:color="92CDDC" w:themeColor="accent5" w:themeTint="99"/>
        </w:tcBorders>
      </w:tcPr>
    </w:tblStylePr>
  </w:style>
  <w:style w:type="table" w:styleId="GridTable7Colorful-Accent6">
    <w:name w:val="Grid Table 7 Colorful Accent 6"/>
    <w:basedOn w:val="TableNormal"/>
    <w:uiPriority w:val="52"/>
    <w:rsid w:val="00696C01"/>
    <w:pPr>
      <w:spacing w:after="0" w:line="240" w:lineRule="auto"/>
    </w:pPr>
    <w:rPr>
      <w:color w:val="E36C0A" w:themeColor="accent6" w:themeShade="BF"/>
    </w:r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bottom w:val="single" w:sz="4" w:space="0" w:color="FABF8F" w:themeColor="accent6" w:themeTint="99"/>
        </w:tcBorders>
      </w:tcPr>
    </w:tblStylePr>
    <w:tblStylePr w:type="nwCell">
      <w:tblPr/>
      <w:tcPr>
        <w:tcBorders>
          <w:bottom w:val="single" w:sz="4" w:space="0" w:color="FABF8F" w:themeColor="accent6" w:themeTint="99"/>
        </w:tcBorders>
      </w:tcPr>
    </w:tblStylePr>
    <w:tblStylePr w:type="seCell">
      <w:tblPr/>
      <w:tcPr>
        <w:tcBorders>
          <w:top w:val="single" w:sz="4" w:space="0" w:color="FABF8F" w:themeColor="accent6" w:themeTint="99"/>
        </w:tcBorders>
      </w:tcPr>
    </w:tblStylePr>
    <w:tblStylePr w:type="swCell">
      <w:tblPr/>
      <w:tcPr>
        <w:tcBorders>
          <w:top w:val="single" w:sz="4" w:space="0" w:color="FABF8F" w:themeColor="accent6" w:themeTint="99"/>
        </w:tcBorders>
      </w:tcPr>
    </w:tblStylePr>
  </w:style>
  <w:style w:type="character" w:styleId="Hashtag">
    <w:name w:val="Hashtag"/>
    <w:basedOn w:val="DefaultParagraphFont"/>
    <w:uiPriority w:val="99"/>
    <w:semiHidden/>
    <w:rsid w:val="00696C01"/>
    <w:rPr>
      <w:color w:val="2B579A"/>
      <w:shd w:val="clear" w:color="auto" w:fill="E1DFDD"/>
    </w:rPr>
  </w:style>
  <w:style w:type="character" w:styleId="HTMLAcronym">
    <w:name w:val="HTML Acronym"/>
    <w:basedOn w:val="DefaultParagraphFont"/>
    <w:uiPriority w:val="99"/>
    <w:semiHidden/>
    <w:rsid w:val="00696C01"/>
  </w:style>
  <w:style w:type="paragraph" w:styleId="HTMLAddress">
    <w:name w:val="HTML Address"/>
    <w:basedOn w:val="Normal"/>
    <w:link w:val="HTMLAddressChar"/>
    <w:uiPriority w:val="99"/>
    <w:semiHidden/>
    <w:rsid w:val="00696C01"/>
    <w:rPr>
      <w:i/>
      <w:iCs/>
    </w:rPr>
  </w:style>
  <w:style w:type="character" w:customStyle="1" w:styleId="HTMLAddressChar">
    <w:name w:val="HTML Address Char"/>
    <w:basedOn w:val="DefaultParagraphFont"/>
    <w:link w:val="HTMLAddress"/>
    <w:uiPriority w:val="99"/>
    <w:semiHidden/>
    <w:rsid w:val="00696C01"/>
    <w:rPr>
      <w:i/>
      <w:iCs/>
      <w:color w:val="000000" w:themeColor="text1"/>
      <w:sz w:val="20"/>
    </w:rPr>
  </w:style>
  <w:style w:type="character" w:styleId="HTMLCite">
    <w:name w:val="HTML Cite"/>
    <w:basedOn w:val="DefaultParagraphFont"/>
    <w:uiPriority w:val="99"/>
    <w:semiHidden/>
    <w:rsid w:val="00696C01"/>
    <w:rPr>
      <w:i/>
      <w:iCs/>
    </w:rPr>
  </w:style>
  <w:style w:type="character" w:styleId="HTMLCode">
    <w:name w:val="HTML Code"/>
    <w:basedOn w:val="DefaultParagraphFont"/>
    <w:uiPriority w:val="99"/>
    <w:semiHidden/>
    <w:rsid w:val="00696C01"/>
    <w:rPr>
      <w:rFonts w:ascii="Consolas" w:hAnsi="Consolas"/>
      <w:sz w:val="20"/>
      <w:szCs w:val="20"/>
    </w:rPr>
  </w:style>
  <w:style w:type="character" w:styleId="HTMLDefinition">
    <w:name w:val="HTML Definition"/>
    <w:basedOn w:val="DefaultParagraphFont"/>
    <w:uiPriority w:val="99"/>
    <w:semiHidden/>
    <w:rsid w:val="00696C01"/>
    <w:rPr>
      <w:i/>
      <w:iCs/>
    </w:rPr>
  </w:style>
  <w:style w:type="character" w:styleId="HTMLKeyboard">
    <w:name w:val="HTML Keyboard"/>
    <w:basedOn w:val="DefaultParagraphFont"/>
    <w:uiPriority w:val="99"/>
    <w:semiHidden/>
    <w:rsid w:val="00696C01"/>
    <w:rPr>
      <w:rFonts w:ascii="Consolas" w:hAnsi="Consolas"/>
      <w:sz w:val="20"/>
      <w:szCs w:val="20"/>
    </w:rPr>
  </w:style>
  <w:style w:type="paragraph" w:styleId="HTMLPreformatted">
    <w:name w:val="HTML Preformatted"/>
    <w:basedOn w:val="Normal"/>
    <w:link w:val="HTMLPreformattedChar"/>
    <w:uiPriority w:val="99"/>
    <w:semiHidden/>
    <w:rsid w:val="00696C01"/>
    <w:rPr>
      <w:rFonts w:ascii="Consolas" w:hAnsi="Consolas"/>
      <w:szCs w:val="20"/>
    </w:rPr>
  </w:style>
  <w:style w:type="character" w:customStyle="1" w:styleId="HTMLPreformattedChar">
    <w:name w:val="HTML Preformatted Char"/>
    <w:basedOn w:val="DefaultParagraphFont"/>
    <w:link w:val="HTMLPreformatted"/>
    <w:uiPriority w:val="99"/>
    <w:semiHidden/>
    <w:rsid w:val="00696C01"/>
    <w:rPr>
      <w:rFonts w:ascii="Consolas" w:hAnsi="Consolas"/>
      <w:color w:val="000000" w:themeColor="text1"/>
      <w:sz w:val="20"/>
      <w:szCs w:val="20"/>
    </w:rPr>
  </w:style>
  <w:style w:type="character" w:styleId="HTMLSample">
    <w:name w:val="HTML Sample"/>
    <w:basedOn w:val="DefaultParagraphFont"/>
    <w:uiPriority w:val="99"/>
    <w:semiHidden/>
    <w:rsid w:val="00696C01"/>
    <w:rPr>
      <w:rFonts w:ascii="Consolas" w:hAnsi="Consolas"/>
      <w:sz w:val="24"/>
      <w:szCs w:val="24"/>
    </w:rPr>
  </w:style>
  <w:style w:type="character" w:styleId="HTMLTypewriter">
    <w:name w:val="HTML Typewriter"/>
    <w:basedOn w:val="DefaultParagraphFont"/>
    <w:uiPriority w:val="99"/>
    <w:semiHidden/>
    <w:rsid w:val="00696C01"/>
    <w:rPr>
      <w:rFonts w:ascii="Consolas" w:hAnsi="Consolas"/>
      <w:sz w:val="20"/>
      <w:szCs w:val="20"/>
    </w:rPr>
  </w:style>
  <w:style w:type="character" w:styleId="HTMLVariable">
    <w:name w:val="HTML Variable"/>
    <w:basedOn w:val="DefaultParagraphFont"/>
    <w:uiPriority w:val="99"/>
    <w:semiHidden/>
    <w:rsid w:val="00696C01"/>
    <w:rPr>
      <w:i/>
      <w:iCs/>
    </w:rPr>
  </w:style>
  <w:style w:type="paragraph" w:styleId="Index1">
    <w:name w:val="index 1"/>
    <w:basedOn w:val="Normal"/>
    <w:next w:val="Normal"/>
    <w:autoRedefine/>
    <w:uiPriority w:val="99"/>
    <w:semiHidden/>
    <w:rsid w:val="00696C01"/>
    <w:pPr>
      <w:ind w:left="200" w:hanging="200"/>
    </w:pPr>
  </w:style>
  <w:style w:type="paragraph" w:styleId="Index2">
    <w:name w:val="index 2"/>
    <w:basedOn w:val="Normal"/>
    <w:next w:val="Normal"/>
    <w:autoRedefine/>
    <w:uiPriority w:val="99"/>
    <w:semiHidden/>
    <w:rsid w:val="00696C01"/>
    <w:pPr>
      <w:ind w:left="400" w:hanging="200"/>
    </w:pPr>
  </w:style>
  <w:style w:type="paragraph" w:styleId="Index3">
    <w:name w:val="index 3"/>
    <w:basedOn w:val="Normal"/>
    <w:next w:val="Normal"/>
    <w:autoRedefine/>
    <w:uiPriority w:val="99"/>
    <w:semiHidden/>
    <w:rsid w:val="00696C01"/>
    <w:pPr>
      <w:ind w:left="600" w:hanging="200"/>
    </w:pPr>
  </w:style>
  <w:style w:type="paragraph" w:styleId="Index4">
    <w:name w:val="index 4"/>
    <w:basedOn w:val="Normal"/>
    <w:next w:val="Normal"/>
    <w:autoRedefine/>
    <w:uiPriority w:val="99"/>
    <w:semiHidden/>
    <w:rsid w:val="00696C01"/>
    <w:pPr>
      <w:ind w:left="800" w:hanging="200"/>
    </w:pPr>
  </w:style>
  <w:style w:type="paragraph" w:styleId="Index5">
    <w:name w:val="index 5"/>
    <w:basedOn w:val="Normal"/>
    <w:next w:val="Normal"/>
    <w:autoRedefine/>
    <w:uiPriority w:val="99"/>
    <w:semiHidden/>
    <w:rsid w:val="00696C01"/>
    <w:pPr>
      <w:ind w:left="1000" w:hanging="200"/>
    </w:pPr>
  </w:style>
  <w:style w:type="paragraph" w:styleId="Index6">
    <w:name w:val="index 6"/>
    <w:basedOn w:val="Normal"/>
    <w:next w:val="Normal"/>
    <w:autoRedefine/>
    <w:uiPriority w:val="99"/>
    <w:semiHidden/>
    <w:rsid w:val="00696C01"/>
    <w:pPr>
      <w:ind w:left="1200" w:hanging="200"/>
    </w:pPr>
  </w:style>
  <w:style w:type="paragraph" w:styleId="Index7">
    <w:name w:val="index 7"/>
    <w:basedOn w:val="Normal"/>
    <w:next w:val="Normal"/>
    <w:autoRedefine/>
    <w:uiPriority w:val="99"/>
    <w:semiHidden/>
    <w:rsid w:val="00696C01"/>
    <w:pPr>
      <w:ind w:left="1400" w:hanging="200"/>
    </w:pPr>
  </w:style>
  <w:style w:type="paragraph" w:styleId="Index8">
    <w:name w:val="index 8"/>
    <w:basedOn w:val="Normal"/>
    <w:next w:val="Normal"/>
    <w:autoRedefine/>
    <w:uiPriority w:val="99"/>
    <w:semiHidden/>
    <w:rsid w:val="00696C01"/>
    <w:pPr>
      <w:ind w:left="1600" w:hanging="200"/>
    </w:pPr>
  </w:style>
  <w:style w:type="paragraph" w:styleId="Index9">
    <w:name w:val="index 9"/>
    <w:basedOn w:val="Normal"/>
    <w:next w:val="Normal"/>
    <w:autoRedefine/>
    <w:uiPriority w:val="99"/>
    <w:semiHidden/>
    <w:rsid w:val="00696C01"/>
    <w:pPr>
      <w:ind w:left="1800" w:hanging="200"/>
    </w:pPr>
  </w:style>
  <w:style w:type="paragraph" w:styleId="IndexHeading">
    <w:name w:val="index heading"/>
    <w:basedOn w:val="Normal"/>
    <w:next w:val="Index1"/>
    <w:uiPriority w:val="99"/>
    <w:semiHidden/>
    <w:rsid w:val="00696C01"/>
    <w:rPr>
      <w:rFonts w:asciiTheme="majorHAnsi" w:eastAsiaTheme="majorEastAsia" w:hAnsiTheme="majorHAnsi" w:cstheme="majorBidi"/>
      <w:b/>
      <w:bCs/>
    </w:rPr>
  </w:style>
  <w:style w:type="character" w:styleId="IntenseEmphasis">
    <w:name w:val="Intense Emphasis"/>
    <w:basedOn w:val="DefaultParagraphFont"/>
    <w:uiPriority w:val="21"/>
    <w:qFormat/>
    <w:rsid w:val="00696C01"/>
    <w:rPr>
      <w:i/>
      <w:iCs/>
      <w:color w:val="4F81BD" w:themeColor="accent1"/>
    </w:rPr>
  </w:style>
  <w:style w:type="paragraph" w:styleId="IntenseQuote">
    <w:name w:val="Intense Quote"/>
    <w:basedOn w:val="Normal"/>
    <w:next w:val="Normal"/>
    <w:link w:val="IntenseQuoteChar"/>
    <w:uiPriority w:val="30"/>
    <w:qFormat/>
    <w:rsid w:val="00696C01"/>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696C01"/>
    <w:rPr>
      <w:i/>
      <w:iCs/>
      <w:color w:val="4F81BD" w:themeColor="accent1"/>
      <w:sz w:val="20"/>
    </w:rPr>
  </w:style>
  <w:style w:type="character" w:styleId="IntenseReference">
    <w:name w:val="Intense Reference"/>
    <w:basedOn w:val="DefaultParagraphFont"/>
    <w:uiPriority w:val="32"/>
    <w:semiHidden/>
    <w:qFormat/>
    <w:rsid w:val="00696C01"/>
    <w:rPr>
      <w:b/>
      <w:bCs/>
      <w:smallCaps/>
      <w:color w:val="4F81BD" w:themeColor="accent1"/>
      <w:spacing w:val="5"/>
    </w:rPr>
  </w:style>
  <w:style w:type="table" w:styleId="LightGrid">
    <w:name w:val="Light Grid"/>
    <w:basedOn w:val="TableNormal"/>
    <w:uiPriority w:val="62"/>
    <w:semiHidden/>
    <w:rsid w:val="00696C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rsid w:val="00696C0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semiHidden/>
    <w:rsid w:val="00696C0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semiHidden/>
    <w:rsid w:val="00696C0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semiHidden/>
    <w:rsid w:val="00696C0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semiHidden/>
    <w:rsid w:val="00696C0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semiHidden/>
    <w:rsid w:val="00696C0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ghtList">
    <w:name w:val="Light List"/>
    <w:basedOn w:val="TableNormal"/>
    <w:uiPriority w:val="61"/>
    <w:semiHidden/>
    <w:rsid w:val="00696C01"/>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rsid w:val="00696C01"/>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semiHidden/>
    <w:rsid w:val="00696C01"/>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semiHidden/>
    <w:rsid w:val="00696C01"/>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semiHidden/>
    <w:rsid w:val="00696C01"/>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semiHidden/>
    <w:rsid w:val="00696C01"/>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semiHidden/>
    <w:rsid w:val="00696C01"/>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Shading">
    <w:name w:val="Light Shading"/>
    <w:basedOn w:val="TableNormal"/>
    <w:uiPriority w:val="60"/>
    <w:semiHidden/>
    <w:rsid w:val="00696C01"/>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rsid w:val="00696C01"/>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semiHidden/>
    <w:rsid w:val="00696C01"/>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semiHidden/>
    <w:rsid w:val="00696C01"/>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semiHidden/>
    <w:rsid w:val="00696C01"/>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semiHidden/>
    <w:rsid w:val="00696C01"/>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semiHidden/>
    <w:rsid w:val="00696C01"/>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character" w:styleId="LineNumber">
    <w:name w:val="line number"/>
    <w:basedOn w:val="DefaultParagraphFont"/>
    <w:uiPriority w:val="99"/>
    <w:semiHidden/>
    <w:rsid w:val="00696C01"/>
  </w:style>
  <w:style w:type="paragraph" w:styleId="List">
    <w:name w:val="List"/>
    <w:basedOn w:val="Normal"/>
    <w:uiPriority w:val="99"/>
    <w:semiHidden/>
    <w:rsid w:val="00696C01"/>
    <w:pPr>
      <w:ind w:left="283" w:hanging="283"/>
      <w:contextualSpacing/>
    </w:pPr>
  </w:style>
  <w:style w:type="paragraph" w:styleId="List2">
    <w:name w:val="List 2"/>
    <w:basedOn w:val="Normal"/>
    <w:uiPriority w:val="99"/>
    <w:semiHidden/>
    <w:rsid w:val="00696C01"/>
    <w:pPr>
      <w:ind w:left="566" w:hanging="283"/>
      <w:contextualSpacing/>
    </w:pPr>
  </w:style>
  <w:style w:type="paragraph" w:styleId="List3">
    <w:name w:val="List 3"/>
    <w:basedOn w:val="Normal"/>
    <w:uiPriority w:val="99"/>
    <w:semiHidden/>
    <w:rsid w:val="00696C01"/>
    <w:pPr>
      <w:ind w:left="849" w:hanging="283"/>
      <w:contextualSpacing/>
    </w:pPr>
  </w:style>
  <w:style w:type="paragraph" w:styleId="List4">
    <w:name w:val="List 4"/>
    <w:basedOn w:val="Normal"/>
    <w:uiPriority w:val="99"/>
    <w:semiHidden/>
    <w:rsid w:val="00696C01"/>
    <w:pPr>
      <w:ind w:left="1132" w:hanging="283"/>
      <w:contextualSpacing/>
    </w:pPr>
  </w:style>
  <w:style w:type="paragraph" w:styleId="List5">
    <w:name w:val="List 5"/>
    <w:basedOn w:val="Normal"/>
    <w:uiPriority w:val="99"/>
    <w:semiHidden/>
    <w:rsid w:val="00696C01"/>
    <w:pPr>
      <w:ind w:left="1415" w:hanging="283"/>
      <w:contextualSpacing/>
    </w:pPr>
  </w:style>
  <w:style w:type="paragraph" w:styleId="ListBullet">
    <w:name w:val="List Bullet"/>
    <w:basedOn w:val="Normal"/>
    <w:uiPriority w:val="99"/>
    <w:semiHidden/>
    <w:rsid w:val="00696C01"/>
    <w:pPr>
      <w:numPr>
        <w:numId w:val="5"/>
      </w:numPr>
      <w:contextualSpacing/>
    </w:pPr>
  </w:style>
  <w:style w:type="paragraph" w:styleId="ListBullet2">
    <w:name w:val="List Bullet 2"/>
    <w:basedOn w:val="Normal"/>
    <w:uiPriority w:val="99"/>
    <w:semiHidden/>
    <w:rsid w:val="00696C01"/>
    <w:pPr>
      <w:numPr>
        <w:numId w:val="6"/>
      </w:numPr>
      <w:contextualSpacing/>
    </w:pPr>
  </w:style>
  <w:style w:type="paragraph" w:styleId="ListBullet3">
    <w:name w:val="List Bullet 3"/>
    <w:basedOn w:val="Normal"/>
    <w:uiPriority w:val="99"/>
    <w:semiHidden/>
    <w:rsid w:val="00696C01"/>
    <w:pPr>
      <w:numPr>
        <w:numId w:val="7"/>
      </w:numPr>
      <w:contextualSpacing/>
    </w:pPr>
  </w:style>
  <w:style w:type="paragraph" w:styleId="ListBullet4">
    <w:name w:val="List Bullet 4"/>
    <w:basedOn w:val="Normal"/>
    <w:uiPriority w:val="99"/>
    <w:semiHidden/>
    <w:rsid w:val="00696C01"/>
    <w:pPr>
      <w:numPr>
        <w:numId w:val="8"/>
      </w:numPr>
      <w:contextualSpacing/>
    </w:pPr>
  </w:style>
  <w:style w:type="paragraph" w:styleId="ListBullet5">
    <w:name w:val="List Bullet 5"/>
    <w:basedOn w:val="Normal"/>
    <w:uiPriority w:val="99"/>
    <w:semiHidden/>
    <w:rsid w:val="00696C01"/>
    <w:pPr>
      <w:numPr>
        <w:numId w:val="9"/>
      </w:numPr>
      <w:contextualSpacing/>
    </w:pPr>
  </w:style>
  <w:style w:type="paragraph" w:styleId="ListContinue">
    <w:name w:val="List Continue"/>
    <w:basedOn w:val="Normal"/>
    <w:uiPriority w:val="99"/>
    <w:semiHidden/>
    <w:rsid w:val="00696C01"/>
    <w:pPr>
      <w:spacing w:after="120"/>
      <w:ind w:left="283"/>
      <w:contextualSpacing/>
    </w:pPr>
  </w:style>
  <w:style w:type="paragraph" w:styleId="ListContinue2">
    <w:name w:val="List Continue 2"/>
    <w:basedOn w:val="Normal"/>
    <w:uiPriority w:val="99"/>
    <w:semiHidden/>
    <w:rsid w:val="00696C01"/>
    <w:pPr>
      <w:spacing w:after="120"/>
      <w:ind w:left="566"/>
      <w:contextualSpacing/>
    </w:pPr>
  </w:style>
  <w:style w:type="paragraph" w:styleId="ListContinue3">
    <w:name w:val="List Continue 3"/>
    <w:basedOn w:val="Normal"/>
    <w:uiPriority w:val="99"/>
    <w:semiHidden/>
    <w:rsid w:val="00696C01"/>
    <w:pPr>
      <w:spacing w:after="120"/>
      <w:ind w:left="849"/>
      <w:contextualSpacing/>
    </w:pPr>
  </w:style>
  <w:style w:type="paragraph" w:styleId="ListContinue4">
    <w:name w:val="List Continue 4"/>
    <w:basedOn w:val="Normal"/>
    <w:uiPriority w:val="99"/>
    <w:semiHidden/>
    <w:rsid w:val="00696C01"/>
    <w:pPr>
      <w:spacing w:after="120"/>
      <w:ind w:left="1132"/>
      <w:contextualSpacing/>
    </w:pPr>
  </w:style>
  <w:style w:type="paragraph" w:styleId="ListContinue5">
    <w:name w:val="List Continue 5"/>
    <w:basedOn w:val="Normal"/>
    <w:uiPriority w:val="99"/>
    <w:semiHidden/>
    <w:rsid w:val="00696C01"/>
    <w:pPr>
      <w:spacing w:after="120"/>
      <w:ind w:left="1415"/>
      <w:contextualSpacing/>
    </w:pPr>
  </w:style>
  <w:style w:type="paragraph" w:styleId="ListNumber">
    <w:name w:val="List Number"/>
    <w:basedOn w:val="Normal"/>
    <w:uiPriority w:val="99"/>
    <w:semiHidden/>
    <w:rsid w:val="00696C01"/>
    <w:pPr>
      <w:numPr>
        <w:numId w:val="13"/>
      </w:numPr>
      <w:contextualSpacing/>
    </w:pPr>
  </w:style>
  <w:style w:type="paragraph" w:styleId="ListNumber2">
    <w:name w:val="List Number 2"/>
    <w:basedOn w:val="Normal"/>
    <w:uiPriority w:val="99"/>
    <w:semiHidden/>
    <w:rsid w:val="00696C01"/>
    <w:pPr>
      <w:numPr>
        <w:numId w:val="14"/>
      </w:numPr>
      <w:contextualSpacing/>
    </w:pPr>
  </w:style>
  <w:style w:type="paragraph" w:styleId="ListNumber3">
    <w:name w:val="List Number 3"/>
    <w:basedOn w:val="Normal"/>
    <w:uiPriority w:val="99"/>
    <w:semiHidden/>
    <w:rsid w:val="00696C01"/>
    <w:pPr>
      <w:numPr>
        <w:numId w:val="15"/>
      </w:numPr>
      <w:contextualSpacing/>
    </w:pPr>
  </w:style>
  <w:style w:type="paragraph" w:styleId="ListNumber4">
    <w:name w:val="List Number 4"/>
    <w:basedOn w:val="Normal"/>
    <w:uiPriority w:val="99"/>
    <w:semiHidden/>
    <w:rsid w:val="00696C01"/>
    <w:pPr>
      <w:numPr>
        <w:numId w:val="16"/>
      </w:numPr>
      <w:contextualSpacing/>
    </w:pPr>
  </w:style>
  <w:style w:type="paragraph" w:styleId="ListNumber5">
    <w:name w:val="List Number 5"/>
    <w:basedOn w:val="Normal"/>
    <w:uiPriority w:val="99"/>
    <w:semiHidden/>
    <w:rsid w:val="00696C01"/>
    <w:pPr>
      <w:numPr>
        <w:numId w:val="17"/>
      </w:numPr>
      <w:contextualSpacing/>
    </w:pPr>
  </w:style>
  <w:style w:type="paragraph" w:styleId="ListParagraph">
    <w:name w:val="List Paragraph"/>
    <w:basedOn w:val="Normal"/>
    <w:uiPriority w:val="34"/>
    <w:qFormat/>
    <w:rsid w:val="00696C01"/>
    <w:pPr>
      <w:ind w:left="720"/>
      <w:contextualSpacing/>
    </w:pPr>
  </w:style>
  <w:style w:type="table" w:styleId="ListTable1Light">
    <w:name w:val="List Table 1 Light"/>
    <w:basedOn w:val="TableNormal"/>
    <w:uiPriority w:val="46"/>
    <w:rsid w:val="00696C01"/>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696C01"/>
    <w:pPr>
      <w:spacing w:after="0" w:line="240" w:lineRule="auto"/>
    </w:pPr>
    <w:tblPr>
      <w:tblStyleRowBandSize w:val="1"/>
      <w:tblStyleColBandSize w:val="1"/>
    </w:tblPr>
    <w:tblStylePr w:type="firstRow">
      <w:rPr>
        <w:b/>
        <w:bCs/>
      </w:rPr>
      <w:tblPr/>
      <w:tcPr>
        <w:tcBorders>
          <w:bottom w:val="single" w:sz="4" w:space="0" w:color="95B3D7" w:themeColor="accent1" w:themeTint="99"/>
        </w:tcBorders>
      </w:tcPr>
    </w:tblStylePr>
    <w:tblStylePr w:type="lastRow">
      <w:rPr>
        <w:b/>
        <w:bCs/>
      </w:rPr>
      <w:tblPr/>
      <w:tcPr>
        <w:tcBorders>
          <w:top w:val="sing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1Light-Accent2">
    <w:name w:val="List Table 1 Light Accent 2"/>
    <w:basedOn w:val="TableNormal"/>
    <w:uiPriority w:val="46"/>
    <w:rsid w:val="00696C01"/>
    <w:pPr>
      <w:spacing w:after="0" w:line="240" w:lineRule="auto"/>
    </w:pPr>
    <w:tblPr>
      <w:tblStyleRowBandSize w:val="1"/>
      <w:tblStyleColBandSize w:val="1"/>
    </w:tblPr>
    <w:tblStylePr w:type="firstRow">
      <w:rPr>
        <w:b/>
        <w:bCs/>
      </w:rPr>
      <w:tblPr/>
      <w:tcPr>
        <w:tcBorders>
          <w:bottom w:val="single" w:sz="4" w:space="0" w:color="D99594" w:themeColor="accent2" w:themeTint="99"/>
        </w:tcBorders>
      </w:tcPr>
    </w:tblStylePr>
    <w:tblStylePr w:type="lastRow">
      <w:rPr>
        <w:b/>
        <w:bCs/>
      </w:rPr>
      <w:tblPr/>
      <w:tcPr>
        <w:tcBorders>
          <w:top w:val="sing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1Light-Accent3">
    <w:name w:val="List Table 1 Light Accent 3"/>
    <w:basedOn w:val="TableNormal"/>
    <w:uiPriority w:val="46"/>
    <w:rsid w:val="00696C01"/>
    <w:pPr>
      <w:spacing w:after="0" w:line="240" w:lineRule="auto"/>
    </w:pPr>
    <w:tblPr>
      <w:tblStyleRowBandSize w:val="1"/>
      <w:tblStyleColBandSize w:val="1"/>
    </w:tblPr>
    <w:tblStylePr w:type="firstRow">
      <w:rPr>
        <w:b/>
        <w:bCs/>
      </w:rPr>
      <w:tblPr/>
      <w:tcPr>
        <w:tcBorders>
          <w:bottom w:val="single" w:sz="4" w:space="0" w:color="C2D69B" w:themeColor="accent3" w:themeTint="99"/>
        </w:tcBorders>
      </w:tcPr>
    </w:tblStylePr>
    <w:tblStylePr w:type="lastRow">
      <w:rPr>
        <w:b/>
        <w:bCs/>
      </w:rPr>
      <w:tblPr/>
      <w:tcPr>
        <w:tcBorders>
          <w:top w:val="sing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1Light-Accent4">
    <w:name w:val="List Table 1 Light Accent 4"/>
    <w:basedOn w:val="TableNormal"/>
    <w:uiPriority w:val="46"/>
    <w:rsid w:val="00696C01"/>
    <w:pPr>
      <w:spacing w:after="0" w:line="240" w:lineRule="auto"/>
    </w:pPr>
    <w:tblPr>
      <w:tblStyleRowBandSize w:val="1"/>
      <w:tblStyleColBandSize w:val="1"/>
    </w:tblPr>
    <w:tblStylePr w:type="firstRow">
      <w:rPr>
        <w:b/>
        <w:bCs/>
      </w:rPr>
      <w:tblPr/>
      <w:tcPr>
        <w:tcBorders>
          <w:bottom w:val="single" w:sz="4" w:space="0" w:color="B2A1C7" w:themeColor="accent4" w:themeTint="99"/>
        </w:tcBorders>
      </w:tcPr>
    </w:tblStylePr>
    <w:tblStylePr w:type="lastRow">
      <w:rPr>
        <w:b/>
        <w:bCs/>
      </w:rPr>
      <w:tblPr/>
      <w:tcPr>
        <w:tcBorders>
          <w:top w:val="sing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1Light-Accent5">
    <w:name w:val="List Table 1 Light Accent 5"/>
    <w:basedOn w:val="TableNormal"/>
    <w:uiPriority w:val="46"/>
    <w:rsid w:val="00696C01"/>
    <w:pPr>
      <w:spacing w:after="0" w:line="240" w:lineRule="auto"/>
    </w:pPr>
    <w:tblPr>
      <w:tblStyleRowBandSize w:val="1"/>
      <w:tblStyleColBandSize w:val="1"/>
    </w:tblPr>
    <w:tblStylePr w:type="firstRow">
      <w:rPr>
        <w:b/>
        <w:bCs/>
      </w:rPr>
      <w:tblPr/>
      <w:tcPr>
        <w:tcBorders>
          <w:bottom w:val="single" w:sz="4" w:space="0" w:color="92CDDC" w:themeColor="accent5" w:themeTint="99"/>
        </w:tcBorders>
      </w:tcPr>
    </w:tblStylePr>
    <w:tblStylePr w:type="lastRow">
      <w:rPr>
        <w:b/>
        <w:bCs/>
      </w:rPr>
      <w:tblPr/>
      <w:tcPr>
        <w:tcBorders>
          <w:top w:val="sing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1Light-Accent6">
    <w:name w:val="List Table 1 Light Accent 6"/>
    <w:basedOn w:val="TableNormal"/>
    <w:uiPriority w:val="46"/>
    <w:rsid w:val="00696C01"/>
    <w:pPr>
      <w:spacing w:after="0" w:line="240" w:lineRule="auto"/>
    </w:pPr>
    <w:tblPr>
      <w:tblStyleRowBandSize w:val="1"/>
      <w:tblStyleColBandSize w:val="1"/>
    </w:tblPr>
    <w:tblStylePr w:type="firstRow">
      <w:rPr>
        <w:b/>
        <w:bCs/>
      </w:rPr>
      <w:tblPr/>
      <w:tcPr>
        <w:tcBorders>
          <w:bottom w:val="single" w:sz="4" w:space="0" w:color="FABF8F" w:themeColor="accent6" w:themeTint="99"/>
        </w:tcBorders>
      </w:tcPr>
    </w:tblStylePr>
    <w:tblStylePr w:type="lastRow">
      <w:rPr>
        <w:b/>
        <w:bCs/>
      </w:rPr>
      <w:tblPr/>
      <w:tcPr>
        <w:tcBorders>
          <w:top w:val="sing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2">
    <w:name w:val="List Table 2"/>
    <w:basedOn w:val="TableNormal"/>
    <w:uiPriority w:val="47"/>
    <w:rsid w:val="00696C01"/>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696C01"/>
    <w:pPr>
      <w:spacing w:after="0" w:line="240" w:lineRule="auto"/>
    </w:pPr>
    <w:tblPr>
      <w:tblStyleRowBandSize w:val="1"/>
      <w:tblStyleColBandSize w:val="1"/>
      <w:tblBorders>
        <w:top w:val="single" w:sz="4" w:space="0" w:color="95B3D7" w:themeColor="accent1" w:themeTint="99"/>
        <w:bottom w:val="single" w:sz="4" w:space="0" w:color="95B3D7" w:themeColor="accent1" w:themeTint="99"/>
        <w:insideH w:val="single" w:sz="4" w:space="0" w:color="95B3D7"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2-Accent2">
    <w:name w:val="List Table 2 Accent 2"/>
    <w:basedOn w:val="TableNormal"/>
    <w:uiPriority w:val="47"/>
    <w:rsid w:val="00696C01"/>
    <w:pPr>
      <w:spacing w:after="0" w:line="240" w:lineRule="auto"/>
    </w:pPr>
    <w:tblPr>
      <w:tblStyleRowBandSize w:val="1"/>
      <w:tblStyleColBandSize w:val="1"/>
      <w:tblBorders>
        <w:top w:val="single" w:sz="4" w:space="0" w:color="D99594" w:themeColor="accent2" w:themeTint="99"/>
        <w:bottom w:val="single" w:sz="4" w:space="0" w:color="D99594" w:themeColor="accent2" w:themeTint="99"/>
        <w:insideH w:val="single" w:sz="4" w:space="0" w:color="D99594"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2-Accent3">
    <w:name w:val="List Table 2 Accent 3"/>
    <w:basedOn w:val="TableNormal"/>
    <w:uiPriority w:val="47"/>
    <w:rsid w:val="00696C01"/>
    <w:pPr>
      <w:spacing w:after="0" w:line="240" w:lineRule="auto"/>
    </w:pPr>
    <w:tblPr>
      <w:tblStyleRowBandSize w:val="1"/>
      <w:tblStyleColBandSize w:val="1"/>
      <w:tblBorders>
        <w:top w:val="single" w:sz="4" w:space="0" w:color="C2D69B" w:themeColor="accent3" w:themeTint="99"/>
        <w:bottom w:val="single" w:sz="4" w:space="0" w:color="C2D69B" w:themeColor="accent3" w:themeTint="99"/>
        <w:insideH w:val="single" w:sz="4" w:space="0" w:color="C2D69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2-Accent4">
    <w:name w:val="List Table 2 Accent 4"/>
    <w:basedOn w:val="TableNormal"/>
    <w:uiPriority w:val="47"/>
    <w:rsid w:val="00696C01"/>
    <w:pPr>
      <w:spacing w:after="0" w:line="240" w:lineRule="auto"/>
    </w:pPr>
    <w:tblPr>
      <w:tblStyleRowBandSize w:val="1"/>
      <w:tblStyleColBandSize w:val="1"/>
      <w:tblBorders>
        <w:top w:val="single" w:sz="4" w:space="0" w:color="B2A1C7" w:themeColor="accent4" w:themeTint="99"/>
        <w:bottom w:val="single" w:sz="4" w:space="0" w:color="B2A1C7" w:themeColor="accent4" w:themeTint="99"/>
        <w:insideH w:val="single" w:sz="4" w:space="0" w:color="B2A1C7"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2-Accent5">
    <w:name w:val="List Table 2 Accent 5"/>
    <w:basedOn w:val="TableNormal"/>
    <w:uiPriority w:val="47"/>
    <w:rsid w:val="00696C01"/>
    <w:pPr>
      <w:spacing w:after="0" w:line="240" w:lineRule="auto"/>
    </w:pPr>
    <w:tblPr>
      <w:tblStyleRowBandSize w:val="1"/>
      <w:tblStyleColBandSize w:val="1"/>
      <w:tblBorders>
        <w:top w:val="single" w:sz="4" w:space="0" w:color="92CDDC" w:themeColor="accent5" w:themeTint="99"/>
        <w:bottom w:val="single" w:sz="4" w:space="0" w:color="92CDDC" w:themeColor="accent5" w:themeTint="99"/>
        <w:insideH w:val="single" w:sz="4" w:space="0" w:color="92CDDC"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2-Accent6">
    <w:name w:val="List Table 2 Accent 6"/>
    <w:basedOn w:val="TableNormal"/>
    <w:uiPriority w:val="47"/>
    <w:rsid w:val="00696C01"/>
    <w:pPr>
      <w:spacing w:after="0" w:line="240" w:lineRule="auto"/>
    </w:pPr>
    <w:tblPr>
      <w:tblStyleRowBandSize w:val="1"/>
      <w:tblStyleColBandSize w:val="1"/>
      <w:tblBorders>
        <w:top w:val="single" w:sz="4" w:space="0" w:color="FABF8F" w:themeColor="accent6" w:themeTint="99"/>
        <w:bottom w:val="single" w:sz="4" w:space="0" w:color="FABF8F" w:themeColor="accent6" w:themeTint="99"/>
        <w:insideH w:val="single" w:sz="4" w:space="0" w:color="FABF8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3">
    <w:name w:val="List Table 3"/>
    <w:basedOn w:val="TableNormal"/>
    <w:uiPriority w:val="48"/>
    <w:rsid w:val="00696C01"/>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696C01"/>
    <w:pPr>
      <w:spacing w:after="0" w:line="240" w:lineRule="auto"/>
    </w:pPr>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b/>
        <w:bCs/>
        <w:color w:val="FFFFFF" w:themeColor="background1"/>
      </w:rPr>
      <w:tblPr/>
      <w:tcPr>
        <w:shd w:val="clear" w:color="auto" w:fill="4F81BD" w:themeFill="accent1"/>
      </w:tcPr>
    </w:tblStylePr>
    <w:tblStylePr w:type="lastRow">
      <w:rPr>
        <w:b/>
        <w:bCs/>
      </w:rPr>
      <w:tblPr/>
      <w:tcPr>
        <w:tcBorders>
          <w:top w:val="double" w:sz="4" w:space="0" w:color="4F81BD"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F81BD" w:themeColor="accent1"/>
          <w:right w:val="single" w:sz="4" w:space="0" w:color="4F81BD" w:themeColor="accent1"/>
        </w:tcBorders>
      </w:tcPr>
    </w:tblStylePr>
    <w:tblStylePr w:type="band1Horz">
      <w:tblPr/>
      <w:tcPr>
        <w:tcBorders>
          <w:top w:val="single" w:sz="4" w:space="0" w:color="4F81BD" w:themeColor="accent1"/>
          <w:bottom w:val="single" w:sz="4" w:space="0" w:color="4F81BD"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F81BD" w:themeColor="accent1"/>
          <w:left w:val="nil"/>
        </w:tcBorders>
      </w:tcPr>
    </w:tblStylePr>
    <w:tblStylePr w:type="swCell">
      <w:tblPr/>
      <w:tcPr>
        <w:tcBorders>
          <w:top w:val="double" w:sz="4" w:space="0" w:color="4F81BD" w:themeColor="accent1"/>
          <w:right w:val="nil"/>
        </w:tcBorders>
      </w:tcPr>
    </w:tblStylePr>
  </w:style>
  <w:style w:type="table" w:styleId="ListTable3-Accent2">
    <w:name w:val="List Table 3 Accent 2"/>
    <w:basedOn w:val="TableNormal"/>
    <w:uiPriority w:val="48"/>
    <w:rsid w:val="00696C01"/>
    <w:pPr>
      <w:spacing w:after="0" w:line="240" w:lineRule="auto"/>
    </w:pPr>
    <w:tblPr>
      <w:tblStyleRowBandSize w:val="1"/>
      <w:tblStyleColBandSize w:val="1"/>
      <w:tblBorders>
        <w:top w:val="single" w:sz="4" w:space="0" w:color="C0504D" w:themeColor="accent2"/>
        <w:left w:val="single" w:sz="4" w:space="0" w:color="C0504D" w:themeColor="accent2"/>
        <w:bottom w:val="single" w:sz="4" w:space="0" w:color="C0504D" w:themeColor="accent2"/>
        <w:right w:val="single" w:sz="4" w:space="0" w:color="C0504D" w:themeColor="accent2"/>
      </w:tblBorders>
    </w:tblPr>
    <w:tblStylePr w:type="firstRow">
      <w:rPr>
        <w:b/>
        <w:bCs/>
        <w:color w:val="FFFFFF" w:themeColor="background1"/>
      </w:rPr>
      <w:tblPr/>
      <w:tcPr>
        <w:shd w:val="clear" w:color="auto" w:fill="C0504D" w:themeFill="accent2"/>
      </w:tcPr>
    </w:tblStylePr>
    <w:tblStylePr w:type="lastRow">
      <w:rPr>
        <w:b/>
        <w:bCs/>
      </w:rPr>
      <w:tblPr/>
      <w:tcPr>
        <w:tcBorders>
          <w:top w:val="double" w:sz="4" w:space="0" w:color="C0504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C0504D" w:themeColor="accent2"/>
          <w:right w:val="single" w:sz="4" w:space="0" w:color="C0504D" w:themeColor="accent2"/>
        </w:tcBorders>
      </w:tcPr>
    </w:tblStylePr>
    <w:tblStylePr w:type="band1Horz">
      <w:tblPr/>
      <w:tcPr>
        <w:tcBorders>
          <w:top w:val="single" w:sz="4" w:space="0" w:color="C0504D" w:themeColor="accent2"/>
          <w:bottom w:val="single" w:sz="4" w:space="0" w:color="C0504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C0504D" w:themeColor="accent2"/>
          <w:left w:val="nil"/>
        </w:tcBorders>
      </w:tcPr>
    </w:tblStylePr>
    <w:tblStylePr w:type="swCell">
      <w:tblPr/>
      <w:tcPr>
        <w:tcBorders>
          <w:top w:val="double" w:sz="4" w:space="0" w:color="C0504D" w:themeColor="accent2"/>
          <w:right w:val="nil"/>
        </w:tcBorders>
      </w:tcPr>
    </w:tblStylePr>
  </w:style>
  <w:style w:type="table" w:styleId="ListTable3-Accent3">
    <w:name w:val="List Table 3 Accent 3"/>
    <w:basedOn w:val="TableNormal"/>
    <w:uiPriority w:val="48"/>
    <w:rsid w:val="00696C01"/>
    <w:pPr>
      <w:spacing w:after="0" w:line="240" w:lineRule="auto"/>
    </w:pPr>
    <w:tblPr>
      <w:tblStyleRowBandSize w:val="1"/>
      <w:tblStyleColBandSize w:val="1"/>
      <w:tblBorders>
        <w:top w:val="single" w:sz="4" w:space="0" w:color="9BBB59" w:themeColor="accent3"/>
        <w:left w:val="single" w:sz="4" w:space="0" w:color="9BBB59" w:themeColor="accent3"/>
        <w:bottom w:val="single" w:sz="4" w:space="0" w:color="9BBB59" w:themeColor="accent3"/>
        <w:right w:val="single" w:sz="4" w:space="0" w:color="9BBB59" w:themeColor="accent3"/>
      </w:tblBorders>
    </w:tblPr>
    <w:tblStylePr w:type="firstRow">
      <w:rPr>
        <w:b/>
        <w:bCs/>
        <w:color w:val="FFFFFF" w:themeColor="background1"/>
      </w:rPr>
      <w:tblPr/>
      <w:tcPr>
        <w:shd w:val="clear" w:color="auto" w:fill="9BBB59" w:themeFill="accent3"/>
      </w:tcPr>
    </w:tblStylePr>
    <w:tblStylePr w:type="lastRow">
      <w:rPr>
        <w:b/>
        <w:bCs/>
      </w:rPr>
      <w:tblPr/>
      <w:tcPr>
        <w:tcBorders>
          <w:top w:val="double" w:sz="4" w:space="0" w:color="9BBB59"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BBB59" w:themeColor="accent3"/>
          <w:right w:val="single" w:sz="4" w:space="0" w:color="9BBB59" w:themeColor="accent3"/>
        </w:tcBorders>
      </w:tcPr>
    </w:tblStylePr>
    <w:tblStylePr w:type="band1Horz">
      <w:tblPr/>
      <w:tcPr>
        <w:tcBorders>
          <w:top w:val="single" w:sz="4" w:space="0" w:color="9BBB59" w:themeColor="accent3"/>
          <w:bottom w:val="single" w:sz="4" w:space="0" w:color="9BBB59"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BBB59" w:themeColor="accent3"/>
          <w:left w:val="nil"/>
        </w:tcBorders>
      </w:tcPr>
    </w:tblStylePr>
    <w:tblStylePr w:type="swCell">
      <w:tblPr/>
      <w:tcPr>
        <w:tcBorders>
          <w:top w:val="double" w:sz="4" w:space="0" w:color="9BBB59" w:themeColor="accent3"/>
          <w:right w:val="nil"/>
        </w:tcBorders>
      </w:tcPr>
    </w:tblStylePr>
  </w:style>
  <w:style w:type="table" w:styleId="ListTable3-Accent4">
    <w:name w:val="List Table 3 Accent 4"/>
    <w:basedOn w:val="TableNormal"/>
    <w:uiPriority w:val="48"/>
    <w:rsid w:val="00696C01"/>
    <w:pPr>
      <w:spacing w:after="0" w:line="240" w:lineRule="auto"/>
    </w:pPr>
    <w:tblPr>
      <w:tblStyleRowBandSize w:val="1"/>
      <w:tblStyleColBandSize w:val="1"/>
      <w:tblBorders>
        <w:top w:val="single" w:sz="4" w:space="0" w:color="8064A2" w:themeColor="accent4"/>
        <w:left w:val="single" w:sz="4" w:space="0" w:color="8064A2" w:themeColor="accent4"/>
        <w:bottom w:val="single" w:sz="4" w:space="0" w:color="8064A2" w:themeColor="accent4"/>
        <w:right w:val="single" w:sz="4" w:space="0" w:color="8064A2" w:themeColor="accent4"/>
      </w:tblBorders>
    </w:tblPr>
    <w:tblStylePr w:type="firstRow">
      <w:rPr>
        <w:b/>
        <w:bCs/>
        <w:color w:val="FFFFFF" w:themeColor="background1"/>
      </w:rPr>
      <w:tblPr/>
      <w:tcPr>
        <w:shd w:val="clear" w:color="auto" w:fill="8064A2" w:themeFill="accent4"/>
      </w:tcPr>
    </w:tblStylePr>
    <w:tblStylePr w:type="lastRow">
      <w:rPr>
        <w:b/>
        <w:bCs/>
      </w:rPr>
      <w:tblPr/>
      <w:tcPr>
        <w:tcBorders>
          <w:top w:val="double" w:sz="4" w:space="0" w:color="8064A2"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8064A2" w:themeColor="accent4"/>
          <w:right w:val="single" w:sz="4" w:space="0" w:color="8064A2" w:themeColor="accent4"/>
        </w:tcBorders>
      </w:tcPr>
    </w:tblStylePr>
    <w:tblStylePr w:type="band1Horz">
      <w:tblPr/>
      <w:tcPr>
        <w:tcBorders>
          <w:top w:val="single" w:sz="4" w:space="0" w:color="8064A2" w:themeColor="accent4"/>
          <w:bottom w:val="single" w:sz="4" w:space="0" w:color="8064A2"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8064A2" w:themeColor="accent4"/>
          <w:left w:val="nil"/>
        </w:tcBorders>
      </w:tcPr>
    </w:tblStylePr>
    <w:tblStylePr w:type="swCell">
      <w:tblPr/>
      <w:tcPr>
        <w:tcBorders>
          <w:top w:val="double" w:sz="4" w:space="0" w:color="8064A2" w:themeColor="accent4"/>
          <w:right w:val="nil"/>
        </w:tcBorders>
      </w:tcPr>
    </w:tblStylePr>
  </w:style>
  <w:style w:type="table" w:styleId="ListTable3-Accent5">
    <w:name w:val="List Table 3 Accent 5"/>
    <w:basedOn w:val="TableNormal"/>
    <w:uiPriority w:val="48"/>
    <w:rsid w:val="00696C0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ListTable3-Accent6">
    <w:name w:val="List Table 3 Accent 6"/>
    <w:basedOn w:val="TableNormal"/>
    <w:uiPriority w:val="48"/>
    <w:rsid w:val="00696C01"/>
    <w:pPr>
      <w:spacing w:after="0" w:line="240" w:lineRule="auto"/>
    </w:pPr>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tblBorders>
    </w:tblPr>
    <w:tblStylePr w:type="firstRow">
      <w:rPr>
        <w:b/>
        <w:bCs/>
        <w:color w:val="FFFFFF" w:themeColor="background1"/>
      </w:rPr>
      <w:tblPr/>
      <w:tcPr>
        <w:shd w:val="clear" w:color="auto" w:fill="F79646" w:themeFill="accent6"/>
      </w:tcPr>
    </w:tblStylePr>
    <w:tblStylePr w:type="lastRow">
      <w:rPr>
        <w:b/>
        <w:bCs/>
      </w:rPr>
      <w:tblPr/>
      <w:tcPr>
        <w:tcBorders>
          <w:top w:val="double" w:sz="4" w:space="0" w:color="F7964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79646" w:themeColor="accent6"/>
          <w:right w:val="single" w:sz="4" w:space="0" w:color="F79646" w:themeColor="accent6"/>
        </w:tcBorders>
      </w:tcPr>
    </w:tblStylePr>
    <w:tblStylePr w:type="band1Horz">
      <w:tblPr/>
      <w:tcPr>
        <w:tcBorders>
          <w:top w:val="single" w:sz="4" w:space="0" w:color="F79646" w:themeColor="accent6"/>
          <w:bottom w:val="single" w:sz="4" w:space="0" w:color="F7964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79646" w:themeColor="accent6"/>
          <w:left w:val="nil"/>
        </w:tcBorders>
      </w:tcPr>
    </w:tblStylePr>
    <w:tblStylePr w:type="swCell">
      <w:tblPr/>
      <w:tcPr>
        <w:tcBorders>
          <w:top w:val="double" w:sz="4" w:space="0" w:color="F79646" w:themeColor="accent6"/>
          <w:right w:val="nil"/>
        </w:tcBorders>
      </w:tcPr>
    </w:tblStylePr>
  </w:style>
  <w:style w:type="table" w:styleId="ListTable4">
    <w:name w:val="List Table 4"/>
    <w:basedOn w:val="TableNormal"/>
    <w:uiPriority w:val="49"/>
    <w:rsid w:val="00696C01"/>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696C01"/>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tcBorders>
        <w:shd w:val="clear" w:color="auto" w:fill="4F81BD" w:themeFill="accent1"/>
      </w:tcPr>
    </w:tblStylePr>
    <w:tblStylePr w:type="lastRow">
      <w:rPr>
        <w:b/>
        <w:bCs/>
      </w:rPr>
      <w:tblPr/>
      <w:tcPr>
        <w:tcBorders>
          <w:top w:val="double" w:sz="4" w:space="0" w:color="95B3D7" w:themeColor="accent1" w:themeTint="99"/>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4-Accent2">
    <w:name w:val="List Table 4 Accent 2"/>
    <w:basedOn w:val="TableNormal"/>
    <w:uiPriority w:val="49"/>
    <w:rsid w:val="00696C01"/>
    <w:pPr>
      <w:spacing w:after="0" w:line="240" w:lineRule="auto"/>
    </w:pPr>
    <w:tblPr>
      <w:tblStyleRowBandSize w:val="1"/>
      <w:tblStyleColBandSize w:val="1"/>
      <w:tblBorders>
        <w:top w:val="single" w:sz="4" w:space="0" w:color="D99594" w:themeColor="accent2" w:themeTint="99"/>
        <w:left w:val="single" w:sz="4" w:space="0" w:color="D99594" w:themeColor="accent2" w:themeTint="99"/>
        <w:bottom w:val="single" w:sz="4" w:space="0" w:color="D99594" w:themeColor="accent2" w:themeTint="99"/>
        <w:right w:val="single" w:sz="4" w:space="0" w:color="D99594" w:themeColor="accent2" w:themeTint="99"/>
        <w:insideH w:val="single" w:sz="4" w:space="0" w:color="D99594" w:themeColor="accent2" w:themeTint="99"/>
      </w:tblBorders>
    </w:tblPr>
    <w:tblStylePr w:type="firstRow">
      <w:rPr>
        <w:b/>
        <w:bCs/>
        <w:color w:val="FFFFFF" w:themeColor="background1"/>
      </w:rPr>
      <w:tblPr/>
      <w:tcPr>
        <w:tcBorders>
          <w:top w:val="single" w:sz="4" w:space="0" w:color="C0504D" w:themeColor="accent2"/>
          <w:left w:val="single" w:sz="4" w:space="0" w:color="C0504D" w:themeColor="accent2"/>
          <w:bottom w:val="single" w:sz="4" w:space="0" w:color="C0504D" w:themeColor="accent2"/>
          <w:right w:val="single" w:sz="4" w:space="0" w:color="C0504D" w:themeColor="accent2"/>
          <w:insideH w:val="nil"/>
        </w:tcBorders>
        <w:shd w:val="clear" w:color="auto" w:fill="C0504D" w:themeFill="accent2"/>
      </w:tcPr>
    </w:tblStylePr>
    <w:tblStylePr w:type="lastRow">
      <w:rPr>
        <w:b/>
        <w:bCs/>
      </w:rPr>
      <w:tblPr/>
      <w:tcPr>
        <w:tcBorders>
          <w:top w:val="double" w:sz="4" w:space="0" w:color="D99594" w:themeColor="accent2" w:themeTint="99"/>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4-Accent3">
    <w:name w:val="List Table 4 Accent 3"/>
    <w:basedOn w:val="TableNormal"/>
    <w:uiPriority w:val="49"/>
    <w:rsid w:val="00696C01"/>
    <w:pPr>
      <w:spacing w:after="0" w:line="240" w:lineRule="auto"/>
    </w:p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tcBorders>
        <w:shd w:val="clear" w:color="auto" w:fill="9BBB59" w:themeFill="accent3"/>
      </w:tcPr>
    </w:tblStylePr>
    <w:tblStylePr w:type="lastRow">
      <w:rPr>
        <w:b/>
        <w:bCs/>
      </w:rPr>
      <w:tblPr/>
      <w:tcPr>
        <w:tcBorders>
          <w:top w:val="double" w:sz="4" w:space="0" w:color="C2D69B" w:themeColor="accent3" w:themeTint="99"/>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4-Accent4">
    <w:name w:val="List Table 4 Accent 4"/>
    <w:basedOn w:val="TableNormal"/>
    <w:uiPriority w:val="49"/>
    <w:rsid w:val="00696C01"/>
    <w:pPr>
      <w:spacing w:after="0" w:line="240" w:lineRule="auto"/>
    </w:pPr>
    <w:tblPr>
      <w:tblStyleRowBandSize w:val="1"/>
      <w:tblStyleColBandSize w:val="1"/>
      <w:tblBorders>
        <w:top w:val="single" w:sz="4" w:space="0" w:color="B2A1C7" w:themeColor="accent4" w:themeTint="99"/>
        <w:left w:val="single" w:sz="4" w:space="0" w:color="B2A1C7" w:themeColor="accent4" w:themeTint="99"/>
        <w:bottom w:val="single" w:sz="4" w:space="0" w:color="B2A1C7" w:themeColor="accent4" w:themeTint="99"/>
        <w:right w:val="single" w:sz="4" w:space="0" w:color="B2A1C7" w:themeColor="accent4" w:themeTint="99"/>
        <w:insideH w:val="single" w:sz="4" w:space="0" w:color="B2A1C7" w:themeColor="accent4" w:themeTint="99"/>
      </w:tblBorders>
    </w:tblPr>
    <w:tblStylePr w:type="firstRow">
      <w:rPr>
        <w:b/>
        <w:bCs/>
        <w:color w:val="FFFFFF" w:themeColor="background1"/>
      </w:rPr>
      <w:tblPr/>
      <w:tcPr>
        <w:tcBorders>
          <w:top w:val="single" w:sz="4" w:space="0" w:color="8064A2" w:themeColor="accent4"/>
          <w:left w:val="single" w:sz="4" w:space="0" w:color="8064A2" w:themeColor="accent4"/>
          <w:bottom w:val="single" w:sz="4" w:space="0" w:color="8064A2" w:themeColor="accent4"/>
          <w:right w:val="single" w:sz="4" w:space="0" w:color="8064A2" w:themeColor="accent4"/>
          <w:insideH w:val="nil"/>
        </w:tcBorders>
        <w:shd w:val="clear" w:color="auto" w:fill="8064A2" w:themeFill="accent4"/>
      </w:tcPr>
    </w:tblStylePr>
    <w:tblStylePr w:type="lastRow">
      <w:rPr>
        <w:b/>
        <w:bCs/>
      </w:rPr>
      <w:tblPr/>
      <w:tcPr>
        <w:tcBorders>
          <w:top w:val="double" w:sz="4" w:space="0" w:color="B2A1C7" w:themeColor="accent4" w:themeTint="99"/>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4-Accent5">
    <w:name w:val="List Table 4 Accent 5"/>
    <w:basedOn w:val="TableNormal"/>
    <w:uiPriority w:val="49"/>
    <w:rsid w:val="00696C0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4-Accent6">
    <w:name w:val="List Table 4 Accent 6"/>
    <w:basedOn w:val="TableNormal"/>
    <w:uiPriority w:val="49"/>
    <w:rsid w:val="00696C01"/>
    <w:pPr>
      <w:spacing w:after="0"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tcBorders>
        <w:shd w:val="clear" w:color="auto" w:fill="F79646" w:themeFill="accent6"/>
      </w:tcPr>
    </w:tblStylePr>
    <w:tblStylePr w:type="lastRow">
      <w:rPr>
        <w:b/>
        <w:bCs/>
      </w:rPr>
      <w:tblPr/>
      <w:tcPr>
        <w:tcBorders>
          <w:top w:val="double" w:sz="4" w:space="0" w:color="FABF8F" w:themeColor="accent6" w:themeTint="99"/>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5Dark">
    <w:name w:val="List Table 5 Dark"/>
    <w:basedOn w:val="TableNormal"/>
    <w:uiPriority w:val="50"/>
    <w:rsid w:val="00696C01"/>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696C01"/>
    <w:pPr>
      <w:spacing w:after="0" w:line="240" w:lineRule="auto"/>
    </w:pPr>
    <w:rPr>
      <w:color w:val="FFFFFF" w:themeColor="background1"/>
    </w:rPr>
    <w:tblPr>
      <w:tblStyleRowBandSize w:val="1"/>
      <w:tblStyleColBandSize w:val="1"/>
      <w:tblBorders>
        <w:top w:val="single" w:sz="24" w:space="0" w:color="4F81BD" w:themeColor="accent1"/>
        <w:left w:val="single" w:sz="24" w:space="0" w:color="4F81BD" w:themeColor="accent1"/>
        <w:bottom w:val="single" w:sz="24" w:space="0" w:color="4F81BD" w:themeColor="accent1"/>
        <w:right w:val="single" w:sz="24" w:space="0" w:color="4F81BD" w:themeColor="accent1"/>
      </w:tblBorders>
    </w:tblPr>
    <w:tcPr>
      <w:shd w:val="clear" w:color="auto" w:fill="4F81BD"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696C01"/>
    <w:pPr>
      <w:spacing w:after="0" w:line="240" w:lineRule="auto"/>
    </w:pPr>
    <w:rPr>
      <w:color w:val="FFFFFF" w:themeColor="background1"/>
    </w:rPr>
    <w:tblPr>
      <w:tblStyleRowBandSize w:val="1"/>
      <w:tblStyleColBandSize w:val="1"/>
      <w:tblBorders>
        <w:top w:val="single" w:sz="24" w:space="0" w:color="C0504D" w:themeColor="accent2"/>
        <w:left w:val="single" w:sz="24" w:space="0" w:color="C0504D" w:themeColor="accent2"/>
        <w:bottom w:val="single" w:sz="24" w:space="0" w:color="C0504D" w:themeColor="accent2"/>
        <w:right w:val="single" w:sz="24" w:space="0" w:color="C0504D" w:themeColor="accent2"/>
      </w:tblBorders>
    </w:tblPr>
    <w:tcPr>
      <w:shd w:val="clear" w:color="auto" w:fill="C0504D"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696C01"/>
    <w:pPr>
      <w:spacing w:after="0" w:line="240" w:lineRule="auto"/>
    </w:pPr>
    <w:rPr>
      <w:color w:val="FFFFFF" w:themeColor="background1"/>
    </w:rPr>
    <w:tblPr>
      <w:tblStyleRowBandSize w:val="1"/>
      <w:tblStyleColBandSize w:val="1"/>
      <w:tblBorders>
        <w:top w:val="single" w:sz="24" w:space="0" w:color="9BBB59" w:themeColor="accent3"/>
        <w:left w:val="single" w:sz="24" w:space="0" w:color="9BBB59" w:themeColor="accent3"/>
        <w:bottom w:val="single" w:sz="24" w:space="0" w:color="9BBB59" w:themeColor="accent3"/>
        <w:right w:val="single" w:sz="24" w:space="0" w:color="9BBB59" w:themeColor="accent3"/>
      </w:tblBorders>
    </w:tblPr>
    <w:tcPr>
      <w:shd w:val="clear" w:color="auto" w:fill="9BBB59"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696C01"/>
    <w:pPr>
      <w:spacing w:after="0" w:line="240" w:lineRule="auto"/>
    </w:pPr>
    <w:rPr>
      <w:color w:val="FFFFFF" w:themeColor="background1"/>
    </w:rPr>
    <w:tblPr>
      <w:tblStyleRowBandSize w:val="1"/>
      <w:tblStyleColBandSize w:val="1"/>
      <w:tblBorders>
        <w:top w:val="single" w:sz="24" w:space="0" w:color="8064A2" w:themeColor="accent4"/>
        <w:left w:val="single" w:sz="24" w:space="0" w:color="8064A2" w:themeColor="accent4"/>
        <w:bottom w:val="single" w:sz="24" w:space="0" w:color="8064A2" w:themeColor="accent4"/>
        <w:right w:val="single" w:sz="24" w:space="0" w:color="8064A2" w:themeColor="accent4"/>
      </w:tblBorders>
    </w:tblPr>
    <w:tcPr>
      <w:shd w:val="clear" w:color="auto" w:fill="8064A2"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696C01"/>
    <w:pPr>
      <w:spacing w:after="0" w:line="240" w:lineRule="auto"/>
    </w:pPr>
    <w:rPr>
      <w:color w:val="FFFFFF" w:themeColor="background1"/>
    </w:rPr>
    <w:tblPr>
      <w:tblStyleRowBandSize w:val="1"/>
      <w:tblStyleColBandSize w:val="1"/>
      <w:tblBorders>
        <w:top w:val="single" w:sz="24" w:space="0" w:color="4BACC6" w:themeColor="accent5"/>
        <w:left w:val="single" w:sz="24" w:space="0" w:color="4BACC6" w:themeColor="accent5"/>
        <w:bottom w:val="single" w:sz="24" w:space="0" w:color="4BACC6" w:themeColor="accent5"/>
        <w:right w:val="single" w:sz="24" w:space="0" w:color="4BACC6" w:themeColor="accent5"/>
      </w:tblBorders>
    </w:tblPr>
    <w:tcPr>
      <w:shd w:val="clear" w:color="auto" w:fill="4BACC6"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696C01"/>
    <w:pPr>
      <w:spacing w:after="0" w:line="240" w:lineRule="auto"/>
    </w:pPr>
    <w:rPr>
      <w:color w:val="FFFFFF" w:themeColor="background1"/>
    </w:rPr>
    <w:tblPr>
      <w:tblStyleRowBandSize w:val="1"/>
      <w:tblStyleColBandSize w:val="1"/>
      <w:tblBorders>
        <w:top w:val="single" w:sz="24" w:space="0" w:color="F79646" w:themeColor="accent6"/>
        <w:left w:val="single" w:sz="24" w:space="0" w:color="F79646" w:themeColor="accent6"/>
        <w:bottom w:val="single" w:sz="24" w:space="0" w:color="F79646" w:themeColor="accent6"/>
        <w:right w:val="single" w:sz="24" w:space="0" w:color="F79646" w:themeColor="accent6"/>
      </w:tblBorders>
    </w:tblPr>
    <w:tcPr>
      <w:shd w:val="clear" w:color="auto" w:fill="F7964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696C01"/>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696C01"/>
    <w:pPr>
      <w:spacing w:after="0" w:line="240" w:lineRule="auto"/>
    </w:pPr>
    <w:rPr>
      <w:color w:val="365F91" w:themeColor="accent1" w:themeShade="BF"/>
    </w:rPr>
    <w:tblPr>
      <w:tblStyleRowBandSize w:val="1"/>
      <w:tblStyleColBandSize w:val="1"/>
      <w:tblBorders>
        <w:top w:val="single" w:sz="4" w:space="0" w:color="4F81BD" w:themeColor="accent1"/>
        <w:bottom w:val="single" w:sz="4" w:space="0" w:color="4F81BD" w:themeColor="accent1"/>
      </w:tblBorders>
    </w:tblPr>
    <w:tblStylePr w:type="firstRow">
      <w:rPr>
        <w:b/>
        <w:bCs/>
      </w:rPr>
      <w:tblPr/>
      <w:tcPr>
        <w:tcBorders>
          <w:bottom w:val="single" w:sz="4" w:space="0" w:color="4F81BD" w:themeColor="accent1"/>
        </w:tcBorders>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ListTable6Colorful-Accent2">
    <w:name w:val="List Table 6 Colorful Accent 2"/>
    <w:basedOn w:val="TableNormal"/>
    <w:uiPriority w:val="51"/>
    <w:rsid w:val="00696C01"/>
    <w:pPr>
      <w:spacing w:after="0" w:line="240" w:lineRule="auto"/>
    </w:pPr>
    <w:rPr>
      <w:color w:val="943634" w:themeColor="accent2" w:themeShade="BF"/>
    </w:rPr>
    <w:tblPr>
      <w:tblStyleRowBandSize w:val="1"/>
      <w:tblStyleColBandSize w:val="1"/>
      <w:tblBorders>
        <w:top w:val="single" w:sz="4" w:space="0" w:color="C0504D" w:themeColor="accent2"/>
        <w:bottom w:val="single" w:sz="4" w:space="0" w:color="C0504D" w:themeColor="accent2"/>
      </w:tblBorders>
    </w:tblPr>
    <w:tblStylePr w:type="firstRow">
      <w:rPr>
        <w:b/>
        <w:bCs/>
      </w:rPr>
      <w:tblPr/>
      <w:tcPr>
        <w:tcBorders>
          <w:bottom w:val="single" w:sz="4" w:space="0" w:color="C0504D" w:themeColor="accent2"/>
        </w:tcBorders>
      </w:tcPr>
    </w:tblStylePr>
    <w:tblStylePr w:type="lastRow">
      <w:rPr>
        <w:b/>
        <w:bCs/>
      </w:rPr>
      <w:tblPr/>
      <w:tcPr>
        <w:tcBorders>
          <w:top w:val="double" w:sz="4" w:space="0" w:color="C0504D" w:themeColor="accent2"/>
        </w:tcBorders>
      </w:tcPr>
    </w:tblStylePr>
    <w:tblStylePr w:type="firstCol">
      <w:rPr>
        <w:b/>
        <w:bCs/>
      </w:rPr>
    </w:tblStylePr>
    <w:tblStylePr w:type="lastCol">
      <w:rPr>
        <w:b/>
        <w:bCs/>
      </w:rPr>
    </w:tblStylePr>
    <w:tblStylePr w:type="band1Vert">
      <w:tblPr/>
      <w:tcPr>
        <w:shd w:val="clear" w:color="auto" w:fill="F2DBDB" w:themeFill="accent2" w:themeFillTint="33"/>
      </w:tcPr>
    </w:tblStylePr>
    <w:tblStylePr w:type="band1Horz">
      <w:tblPr/>
      <w:tcPr>
        <w:shd w:val="clear" w:color="auto" w:fill="F2DBDB" w:themeFill="accent2" w:themeFillTint="33"/>
      </w:tcPr>
    </w:tblStylePr>
  </w:style>
  <w:style w:type="table" w:styleId="ListTable6Colorful-Accent3">
    <w:name w:val="List Table 6 Colorful Accent 3"/>
    <w:basedOn w:val="TableNormal"/>
    <w:uiPriority w:val="51"/>
    <w:rsid w:val="00696C01"/>
    <w:pPr>
      <w:spacing w:after="0" w:line="240" w:lineRule="auto"/>
    </w:pPr>
    <w:rPr>
      <w:color w:val="76923C" w:themeColor="accent3" w:themeShade="BF"/>
    </w:rPr>
    <w:tblPr>
      <w:tblStyleRowBandSize w:val="1"/>
      <w:tblStyleColBandSize w:val="1"/>
      <w:tblBorders>
        <w:top w:val="single" w:sz="4" w:space="0" w:color="9BBB59" w:themeColor="accent3"/>
        <w:bottom w:val="single" w:sz="4" w:space="0" w:color="9BBB59" w:themeColor="accent3"/>
      </w:tblBorders>
    </w:tblPr>
    <w:tblStylePr w:type="firstRow">
      <w:rPr>
        <w:b/>
        <w:bCs/>
      </w:rPr>
      <w:tblPr/>
      <w:tcPr>
        <w:tcBorders>
          <w:bottom w:val="single" w:sz="4" w:space="0" w:color="9BBB59" w:themeColor="accent3"/>
        </w:tcBorders>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styleId="ListTable6Colorful-Accent4">
    <w:name w:val="List Table 6 Colorful Accent 4"/>
    <w:basedOn w:val="TableNormal"/>
    <w:uiPriority w:val="51"/>
    <w:rsid w:val="00696C01"/>
    <w:pPr>
      <w:spacing w:after="0" w:line="240" w:lineRule="auto"/>
    </w:pPr>
    <w:rPr>
      <w:color w:val="5F497A" w:themeColor="accent4" w:themeShade="BF"/>
    </w:rPr>
    <w:tblPr>
      <w:tblStyleRowBandSize w:val="1"/>
      <w:tblStyleColBandSize w:val="1"/>
      <w:tblBorders>
        <w:top w:val="single" w:sz="4" w:space="0" w:color="8064A2" w:themeColor="accent4"/>
        <w:bottom w:val="single" w:sz="4" w:space="0" w:color="8064A2" w:themeColor="accent4"/>
      </w:tblBorders>
    </w:tblPr>
    <w:tblStylePr w:type="firstRow">
      <w:rPr>
        <w:b/>
        <w:bCs/>
      </w:rPr>
      <w:tblPr/>
      <w:tcPr>
        <w:tcBorders>
          <w:bottom w:val="single" w:sz="4" w:space="0" w:color="8064A2" w:themeColor="accent4"/>
        </w:tcBorders>
      </w:tcPr>
    </w:tblStylePr>
    <w:tblStylePr w:type="lastRow">
      <w:rPr>
        <w:b/>
        <w:bCs/>
      </w:rPr>
      <w:tblPr/>
      <w:tcPr>
        <w:tcBorders>
          <w:top w:val="double" w:sz="4" w:space="0" w:color="8064A2" w:themeColor="accent4"/>
        </w:tcBorders>
      </w:tcPr>
    </w:tblStylePr>
    <w:tblStylePr w:type="firstCol">
      <w:rPr>
        <w:b/>
        <w:bCs/>
      </w:rPr>
    </w:tblStylePr>
    <w:tblStylePr w:type="lastCol">
      <w:rPr>
        <w:b/>
        <w:bCs/>
      </w:rPr>
    </w:tblStylePr>
    <w:tblStylePr w:type="band1Vert">
      <w:tblPr/>
      <w:tcPr>
        <w:shd w:val="clear" w:color="auto" w:fill="E5DFEC" w:themeFill="accent4" w:themeFillTint="33"/>
      </w:tcPr>
    </w:tblStylePr>
    <w:tblStylePr w:type="band1Horz">
      <w:tblPr/>
      <w:tcPr>
        <w:shd w:val="clear" w:color="auto" w:fill="E5DFEC" w:themeFill="accent4" w:themeFillTint="33"/>
      </w:tcPr>
    </w:tblStylePr>
  </w:style>
  <w:style w:type="table" w:styleId="ListTable6Colorful-Accent5">
    <w:name w:val="List Table 6 Colorful Accent 5"/>
    <w:basedOn w:val="TableNormal"/>
    <w:uiPriority w:val="51"/>
    <w:rsid w:val="00696C01"/>
    <w:pPr>
      <w:spacing w:after="0" w:line="240" w:lineRule="auto"/>
    </w:pPr>
    <w:rPr>
      <w:color w:val="31849B" w:themeColor="accent5" w:themeShade="BF"/>
    </w:rPr>
    <w:tblPr>
      <w:tblStyleRowBandSize w:val="1"/>
      <w:tblStyleColBandSize w:val="1"/>
      <w:tblBorders>
        <w:top w:val="single" w:sz="4" w:space="0" w:color="4BACC6" w:themeColor="accent5"/>
        <w:bottom w:val="single" w:sz="4" w:space="0" w:color="4BACC6" w:themeColor="accent5"/>
      </w:tblBorders>
    </w:tblPr>
    <w:tblStylePr w:type="firstRow">
      <w:rPr>
        <w:b/>
        <w:bCs/>
      </w:rPr>
      <w:tblPr/>
      <w:tcPr>
        <w:tcBorders>
          <w:bottom w:val="single" w:sz="4" w:space="0" w:color="4BACC6" w:themeColor="accent5"/>
        </w:tcBorders>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ListTable6Colorful-Accent6">
    <w:name w:val="List Table 6 Colorful Accent 6"/>
    <w:basedOn w:val="TableNormal"/>
    <w:uiPriority w:val="51"/>
    <w:rsid w:val="00696C01"/>
    <w:pPr>
      <w:spacing w:after="0" w:line="240" w:lineRule="auto"/>
    </w:pPr>
    <w:rPr>
      <w:color w:val="E36C0A" w:themeColor="accent6" w:themeShade="BF"/>
    </w:rPr>
    <w:tblPr>
      <w:tblStyleRowBandSize w:val="1"/>
      <w:tblStyleColBandSize w:val="1"/>
      <w:tblBorders>
        <w:top w:val="single" w:sz="4" w:space="0" w:color="F79646" w:themeColor="accent6"/>
        <w:bottom w:val="single" w:sz="4" w:space="0" w:color="F79646" w:themeColor="accent6"/>
      </w:tblBorders>
    </w:tblPr>
    <w:tblStylePr w:type="firstRow">
      <w:rPr>
        <w:b/>
        <w:bCs/>
      </w:rPr>
      <w:tblPr/>
      <w:tcPr>
        <w:tcBorders>
          <w:bottom w:val="single" w:sz="4" w:space="0" w:color="F79646" w:themeColor="accent6"/>
        </w:tcBorders>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ListTable7Colorful">
    <w:name w:val="List Table 7 Colorful"/>
    <w:basedOn w:val="TableNormal"/>
    <w:uiPriority w:val="52"/>
    <w:rsid w:val="00696C01"/>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696C01"/>
    <w:pPr>
      <w:spacing w:after="0" w:line="240" w:lineRule="auto"/>
    </w:pPr>
    <w:rPr>
      <w:color w:val="365F9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F81BD"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F81BD"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F81BD"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F81BD" w:themeColor="accent1"/>
        </w:tcBorders>
        <w:shd w:val="clear" w:color="auto" w:fill="FFFFFF" w:themeFill="background1"/>
      </w:tcPr>
    </w:tblStylePr>
    <w:tblStylePr w:type="band1Vert">
      <w:tblPr/>
      <w:tcPr>
        <w:shd w:val="clear" w:color="auto" w:fill="DBE5F1" w:themeFill="accent1" w:themeFillTint="33"/>
      </w:tcPr>
    </w:tblStylePr>
    <w:tblStylePr w:type="band1Horz">
      <w:tblPr/>
      <w:tcPr>
        <w:shd w:val="clear" w:color="auto" w:fill="DBE5F1"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696C01"/>
    <w:pPr>
      <w:spacing w:after="0" w:line="240" w:lineRule="auto"/>
    </w:pPr>
    <w:rPr>
      <w:color w:val="94363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C0504D"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C0504D"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C0504D"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C0504D" w:themeColor="accent2"/>
        </w:tcBorders>
        <w:shd w:val="clear" w:color="auto" w:fill="FFFFFF" w:themeFill="background1"/>
      </w:tcPr>
    </w:tblStylePr>
    <w:tblStylePr w:type="band1Vert">
      <w:tblPr/>
      <w:tcPr>
        <w:shd w:val="clear" w:color="auto" w:fill="F2DBDB" w:themeFill="accent2" w:themeFillTint="33"/>
      </w:tcPr>
    </w:tblStylePr>
    <w:tblStylePr w:type="band1Horz">
      <w:tblPr/>
      <w:tcPr>
        <w:shd w:val="clear" w:color="auto" w:fill="F2DBDB"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696C01"/>
    <w:pPr>
      <w:spacing w:after="0" w:line="240" w:lineRule="auto"/>
    </w:pPr>
    <w:rPr>
      <w:color w:val="76923C"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9BBB59"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9BBB59"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9BBB59"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9BBB59" w:themeColor="accent3"/>
        </w:tcBorders>
        <w:shd w:val="clear" w:color="auto" w:fill="FFFFFF" w:themeFill="background1"/>
      </w:tcPr>
    </w:tblStylePr>
    <w:tblStylePr w:type="band1Vert">
      <w:tblPr/>
      <w:tcPr>
        <w:shd w:val="clear" w:color="auto" w:fill="EAF1DD" w:themeFill="accent3" w:themeFillTint="33"/>
      </w:tcPr>
    </w:tblStylePr>
    <w:tblStylePr w:type="band1Horz">
      <w:tblPr/>
      <w:tcPr>
        <w:shd w:val="clear" w:color="auto" w:fill="EAF1D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696C01"/>
    <w:pPr>
      <w:spacing w:after="0" w:line="240" w:lineRule="auto"/>
    </w:pPr>
    <w:rPr>
      <w:color w:val="5F497A"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8064A2"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8064A2"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8064A2"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8064A2" w:themeColor="accent4"/>
        </w:tcBorders>
        <w:shd w:val="clear" w:color="auto" w:fill="FFFFFF" w:themeFill="background1"/>
      </w:tcPr>
    </w:tblStylePr>
    <w:tblStylePr w:type="band1Vert">
      <w:tblPr/>
      <w:tcPr>
        <w:shd w:val="clear" w:color="auto" w:fill="E5DFEC" w:themeFill="accent4" w:themeFillTint="33"/>
      </w:tcPr>
    </w:tblStylePr>
    <w:tblStylePr w:type="band1Horz">
      <w:tblPr/>
      <w:tcPr>
        <w:shd w:val="clear" w:color="auto" w:fill="E5DFE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696C01"/>
    <w:pPr>
      <w:spacing w:after="0" w:line="240" w:lineRule="auto"/>
    </w:pPr>
    <w:rPr>
      <w:color w:val="31849B"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BACC6"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BACC6"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BACC6"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BACC6" w:themeColor="accent5"/>
        </w:tcBorders>
        <w:shd w:val="clear" w:color="auto" w:fill="FFFFFF" w:themeFill="background1"/>
      </w:tcPr>
    </w:tblStylePr>
    <w:tblStylePr w:type="band1Vert">
      <w:tblPr/>
      <w:tcPr>
        <w:shd w:val="clear" w:color="auto" w:fill="DAEEF3" w:themeFill="accent5" w:themeFillTint="33"/>
      </w:tcPr>
    </w:tblStylePr>
    <w:tblStylePr w:type="band1Horz">
      <w:tblPr/>
      <w:tcPr>
        <w:shd w:val="clear" w:color="auto" w:fill="DAEEF3"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696C01"/>
    <w:pPr>
      <w:spacing w:after="0" w:line="240" w:lineRule="auto"/>
    </w:pPr>
    <w:rPr>
      <w:color w:val="E36C0A"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7964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7964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7964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79646" w:themeColor="accent6"/>
        </w:tcBorders>
        <w:shd w:val="clear" w:color="auto" w:fill="FFFFFF" w:themeFill="background1"/>
      </w:tcPr>
    </w:tblStylePr>
    <w:tblStylePr w:type="band1Vert">
      <w:tblPr/>
      <w:tcPr>
        <w:shd w:val="clear" w:color="auto" w:fill="FDE9D9" w:themeFill="accent6" w:themeFillTint="33"/>
      </w:tcPr>
    </w:tblStylePr>
    <w:tblStylePr w:type="band1Horz">
      <w:tblPr/>
      <w:tcPr>
        <w:shd w:val="clear" w:color="auto" w:fill="FDE9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rsid w:val="00696C01"/>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hAnsi="Consolas"/>
      <w:color w:val="000000" w:themeColor="text1"/>
      <w:sz w:val="20"/>
      <w:szCs w:val="20"/>
    </w:rPr>
  </w:style>
  <w:style w:type="character" w:customStyle="1" w:styleId="MacroTextChar">
    <w:name w:val="Macro Text Char"/>
    <w:basedOn w:val="DefaultParagraphFont"/>
    <w:link w:val="MacroText"/>
    <w:uiPriority w:val="99"/>
    <w:semiHidden/>
    <w:rsid w:val="00696C01"/>
    <w:rPr>
      <w:rFonts w:ascii="Consolas" w:hAnsi="Consolas"/>
      <w:color w:val="000000" w:themeColor="text1"/>
      <w:sz w:val="20"/>
      <w:szCs w:val="20"/>
    </w:rPr>
  </w:style>
  <w:style w:type="table" w:styleId="MediumGrid1">
    <w:name w:val="Medium Grid 1"/>
    <w:basedOn w:val="TableNormal"/>
    <w:uiPriority w:val="67"/>
    <w:semiHidden/>
    <w:rsid w:val="00696C0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rsid w:val="00696C0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semiHidden/>
    <w:rsid w:val="00696C0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semiHidden/>
    <w:rsid w:val="00696C0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semiHidden/>
    <w:rsid w:val="00696C0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semiHidden/>
    <w:rsid w:val="00696C0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semiHidden/>
    <w:rsid w:val="00696C0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rsid w:val="00696C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rsid w:val="00696C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semiHidden/>
    <w:rsid w:val="00696C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semiHidden/>
    <w:rsid w:val="00696C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semiHidden/>
    <w:rsid w:val="00696C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semiHidden/>
    <w:rsid w:val="00696C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semiHidden/>
    <w:rsid w:val="00696C01"/>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ediumList1">
    <w:name w:val="Medium List 1"/>
    <w:basedOn w:val="TableNormal"/>
    <w:uiPriority w:val="65"/>
    <w:semiHidden/>
    <w:rsid w:val="00696C01"/>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rsid w:val="00696C01"/>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semiHidden/>
    <w:rsid w:val="00696C01"/>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semiHidden/>
    <w:rsid w:val="00696C01"/>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semiHidden/>
    <w:rsid w:val="00696C01"/>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semiHidden/>
    <w:rsid w:val="00696C01"/>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semiHidden/>
    <w:rsid w:val="00696C01"/>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rsid w:val="00696C01"/>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rsid w:val="00696C01"/>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rsid w:val="00696C01"/>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rsid w:val="00696C01"/>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rsid w:val="00696C01"/>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rsid w:val="00696C01"/>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rsid w:val="00696C01"/>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rsid w:val="00696C01"/>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rsid w:val="00696C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rsid w:val="00696C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rsid w:val="00696C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rsid w:val="00696C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rsid w:val="00696C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rsid w:val="00696C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rsid w:val="00696C01"/>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Mention">
    <w:name w:val="Mention"/>
    <w:basedOn w:val="DefaultParagraphFont"/>
    <w:uiPriority w:val="99"/>
    <w:semiHidden/>
    <w:rsid w:val="00696C01"/>
    <w:rPr>
      <w:color w:val="2B579A"/>
      <w:shd w:val="clear" w:color="auto" w:fill="E1DFDD"/>
    </w:rPr>
  </w:style>
  <w:style w:type="paragraph" w:styleId="MessageHeader">
    <w:name w:val="Message Header"/>
    <w:basedOn w:val="Normal"/>
    <w:link w:val="MessageHeaderChar"/>
    <w:uiPriority w:val="99"/>
    <w:semiHidden/>
    <w:rsid w:val="00696C01"/>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96C01"/>
    <w:rPr>
      <w:rFonts w:asciiTheme="majorHAnsi" w:eastAsiaTheme="majorEastAsia" w:hAnsiTheme="majorHAnsi" w:cstheme="majorBidi"/>
      <w:color w:val="000000" w:themeColor="text1"/>
      <w:sz w:val="24"/>
      <w:szCs w:val="24"/>
      <w:shd w:val="pct20" w:color="auto" w:fill="auto"/>
    </w:rPr>
  </w:style>
  <w:style w:type="paragraph" w:styleId="NoSpacing">
    <w:name w:val="No Spacing"/>
    <w:uiPriority w:val="5"/>
    <w:semiHidden/>
    <w:qFormat/>
    <w:rsid w:val="00696C01"/>
    <w:pPr>
      <w:spacing w:after="0" w:line="240" w:lineRule="auto"/>
      <w:jc w:val="both"/>
    </w:pPr>
    <w:rPr>
      <w:color w:val="000000" w:themeColor="text1"/>
      <w:sz w:val="20"/>
    </w:rPr>
  </w:style>
  <w:style w:type="paragraph" w:styleId="NormalWeb">
    <w:name w:val="Normal (Web)"/>
    <w:basedOn w:val="Normal"/>
    <w:uiPriority w:val="99"/>
    <w:semiHidden/>
    <w:rsid w:val="00696C01"/>
    <w:rPr>
      <w:rFonts w:ascii="Times New Roman" w:hAnsi="Times New Roman" w:cs="Times New Roman"/>
      <w:sz w:val="24"/>
      <w:szCs w:val="24"/>
    </w:rPr>
  </w:style>
  <w:style w:type="paragraph" w:styleId="NormalIndent">
    <w:name w:val="Normal Indent"/>
    <w:basedOn w:val="Normal"/>
    <w:uiPriority w:val="99"/>
    <w:semiHidden/>
    <w:rsid w:val="00696C01"/>
    <w:pPr>
      <w:ind w:left="720"/>
    </w:pPr>
  </w:style>
  <w:style w:type="paragraph" w:styleId="NoteHeading">
    <w:name w:val="Note Heading"/>
    <w:basedOn w:val="Normal"/>
    <w:next w:val="Normal"/>
    <w:link w:val="NoteHeadingChar"/>
    <w:uiPriority w:val="99"/>
    <w:semiHidden/>
    <w:rsid w:val="00696C01"/>
  </w:style>
  <w:style w:type="character" w:customStyle="1" w:styleId="NoteHeadingChar">
    <w:name w:val="Note Heading Char"/>
    <w:basedOn w:val="DefaultParagraphFont"/>
    <w:link w:val="NoteHeading"/>
    <w:uiPriority w:val="99"/>
    <w:semiHidden/>
    <w:rsid w:val="00696C01"/>
    <w:rPr>
      <w:color w:val="000000" w:themeColor="text1"/>
      <w:sz w:val="20"/>
    </w:rPr>
  </w:style>
  <w:style w:type="character" w:styleId="PageNumber">
    <w:name w:val="page number"/>
    <w:basedOn w:val="DefaultParagraphFont"/>
    <w:uiPriority w:val="99"/>
    <w:semiHidden/>
    <w:rsid w:val="00696C01"/>
  </w:style>
  <w:style w:type="table" w:styleId="PlainTable1">
    <w:name w:val="Plain Table 1"/>
    <w:basedOn w:val="TableNormal"/>
    <w:uiPriority w:val="41"/>
    <w:rsid w:val="00696C0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96C01"/>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696C01"/>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4">
    <w:name w:val="Plain Table 4"/>
    <w:basedOn w:val="TableNormal"/>
    <w:uiPriority w:val="44"/>
    <w:rsid w:val="00696C01"/>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696C0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rsid w:val="00696C01"/>
    <w:rPr>
      <w:rFonts w:ascii="Consolas" w:hAnsi="Consolas"/>
      <w:sz w:val="21"/>
      <w:szCs w:val="21"/>
    </w:rPr>
  </w:style>
  <w:style w:type="character" w:customStyle="1" w:styleId="PlainTextChar">
    <w:name w:val="Plain Text Char"/>
    <w:basedOn w:val="DefaultParagraphFont"/>
    <w:link w:val="PlainText"/>
    <w:uiPriority w:val="99"/>
    <w:semiHidden/>
    <w:rsid w:val="00696C01"/>
    <w:rPr>
      <w:rFonts w:ascii="Consolas" w:hAnsi="Consolas"/>
      <w:color w:val="000000" w:themeColor="text1"/>
      <w:sz w:val="21"/>
      <w:szCs w:val="21"/>
    </w:rPr>
  </w:style>
  <w:style w:type="paragraph" w:styleId="Quote">
    <w:name w:val="Quote"/>
    <w:basedOn w:val="Normal"/>
    <w:next w:val="Normal"/>
    <w:link w:val="QuoteChar"/>
    <w:uiPriority w:val="29"/>
    <w:qFormat/>
    <w:rsid w:val="00696C01"/>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96C01"/>
    <w:rPr>
      <w:i/>
      <w:iCs/>
      <w:color w:val="404040" w:themeColor="text1" w:themeTint="BF"/>
      <w:sz w:val="20"/>
    </w:rPr>
  </w:style>
  <w:style w:type="paragraph" w:styleId="Salutation">
    <w:name w:val="Salutation"/>
    <w:basedOn w:val="Normal"/>
    <w:next w:val="Normal"/>
    <w:link w:val="SalutationChar"/>
    <w:uiPriority w:val="99"/>
    <w:semiHidden/>
    <w:rsid w:val="00696C01"/>
  </w:style>
  <w:style w:type="character" w:customStyle="1" w:styleId="SalutationChar">
    <w:name w:val="Salutation Char"/>
    <w:basedOn w:val="DefaultParagraphFont"/>
    <w:link w:val="Salutation"/>
    <w:uiPriority w:val="99"/>
    <w:semiHidden/>
    <w:rsid w:val="00696C01"/>
    <w:rPr>
      <w:color w:val="000000" w:themeColor="text1"/>
      <w:sz w:val="20"/>
    </w:rPr>
  </w:style>
  <w:style w:type="character" w:styleId="SmartHyperlink">
    <w:name w:val="Smart Hyperlink"/>
    <w:basedOn w:val="DefaultParagraphFont"/>
    <w:uiPriority w:val="99"/>
    <w:semiHidden/>
    <w:rsid w:val="00696C01"/>
    <w:rPr>
      <w:u w:val="dotted"/>
    </w:rPr>
  </w:style>
  <w:style w:type="character" w:customStyle="1" w:styleId="SmartLink1">
    <w:name w:val="SmartLink1"/>
    <w:basedOn w:val="DefaultParagraphFont"/>
    <w:uiPriority w:val="99"/>
    <w:semiHidden/>
    <w:rsid w:val="00696C01"/>
    <w:rPr>
      <w:color w:val="0000FF"/>
      <w:u w:val="single"/>
      <w:shd w:val="clear" w:color="auto" w:fill="F3F2F1"/>
    </w:rPr>
  </w:style>
  <w:style w:type="character" w:styleId="Strong">
    <w:name w:val="Strong"/>
    <w:basedOn w:val="DefaultParagraphFont"/>
    <w:uiPriority w:val="22"/>
    <w:qFormat/>
    <w:rsid w:val="00696C01"/>
    <w:rPr>
      <w:b/>
      <w:bCs/>
    </w:rPr>
  </w:style>
  <w:style w:type="paragraph" w:styleId="Subtitle">
    <w:name w:val="Subtitle"/>
    <w:basedOn w:val="Normal"/>
    <w:next w:val="Normal"/>
    <w:link w:val="SubtitleChar"/>
    <w:uiPriority w:val="19"/>
    <w:qFormat/>
    <w:rsid w:val="00696C01"/>
    <w:pPr>
      <w:numPr>
        <w:ilvl w:val="1"/>
      </w:numPr>
      <w:spacing w:after="160"/>
    </w:pPr>
    <w:rPr>
      <w:rFonts w:eastAsiaTheme="minorEastAsia"/>
      <w:color w:val="5A5A5A" w:themeColor="text1" w:themeTint="A5"/>
      <w:spacing w:val="15"/>
      <w:sz w:val="22"/>
    </w:rPr>
  </w:style>
  <w:style w:type="character" w:customStyle="1" w:styleId="SubtitleChar">
    <w:name w:val="Subtitle Char"/>
    <w:basedOn w:val="DefaultParagraphFont"/>
    <w:link w:val="Subtitle"/>
    <w:uiPriority w:val="19"/>
    <w:rsid w:val="00696C01"/>
    <w:rPr>
      <w:rFonts w:eastAsiaTheme="minorEastAsia"/>
      <w:color w:val="5A5A5A" w:themeColor="text1" w:themeTint="A5"/>
      <w:spacing w:val="15"/>
    </w:rPr>
  </w:style>
  <w:style w:type="character" w:styleId="SubtleEmphasis">
    <w:name w:val="Subtle Emphasis"/>
    <w:basedOn w:val="DefaultParagraphFont"/>
    <w:uiPriority w:val="19"/>
    <w:qFormat/>
    <w:rsid w:val="00696C01"/>
    <w:rPr>
      <w:i/>
      <w:iCs/>
      <w:color w:val="404040" w:themeColor="text1" w:themeTint="BF"/>
    </w:rPr>
  </w:style>
  <w:style w:type="character" w:styleId="SubtleReference">
    <w:name w:val="Subtle Reference"/>
    <w:basedOn w:val="DefaultParagraphFont"/>
    <w:uiPriority w:val="31"/>
    <w:qFormat/>
    <w:rsid w:val="00696C01"/>
    <w:rPr>
      <w:smallCaps/>
      <w:color w:val="5A5A5A" w:themeColor="text1" w:themeTint="A5"/>
    </w:rPr>
  </w:style>
  <w:style w:type="table" w:styleId="Table3Deffects1">
    <w:name w:val="Table 3D effects 1"/>
    <w:basedOn w:val="TableNormal"/>
    <w:uiPriority w:val="99"/>
    <w:semiHidden/>
    <w:rsid w:val="00696C01"/>
    <w:pPr>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rsid w:val="00696C01"/>
    <w:pPr>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rsid w:val="00696C01"/>
    <w:pPr>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rsid w:val="00696C01"/>
    <w:pPr>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rsid w:val="00696C01"/>
    <w:pPr>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rsid w:val="00696C01"/>
    <w:pPr>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rsid w:val="00696C01"/>
    <w:pPr>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rsid w:val="00696C01"/>
    <w:pPr>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rsid w:val="00696C01"/>
    <w:pPr>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rsid w:val="00696C01"/>
    <w:pPr>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rsid w:val="00696C01"/>
    <w:pPr>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rsid w:val="00696C01"/>
    <w:pPr>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rsid w:val="00696C01"/>
    <w:pPr>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rsid w:val="00696C01"/>
    <w:pPr>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rsid w:val="00696C01"/>
    <w:pPr>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rsid w:val="00696C01"/>
    <w:pPr>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rsid w:val="00696C01"/>
    <w:pPr>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696C0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rsid w:val="00696C01"/>
    <w:pPr>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rsid w:val="00696C01"/>
    <w:pPr>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rsid w:val="00696C01"/>
    <w:pPr>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rsid w:val="00696C0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rsid w:val="00696C01"/>
    <w:pPr>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rsid w:val="00696C01"/>
    <w:pPr>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rsid w:val="00696C01"/>
    <w:pPr>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696C0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rsid w:val="00696C01"/>
    <w:pPr>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rsid w:val="00696C01"/>
    <w:pPr>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rsid w:val="00696C01"/>
    <w:pPr>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rsid w:val="00696C01"/>
    <w:pPr>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rsid w:val="00696C0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rsid w:val="00696C0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rsid w:val="00696C01"/>
    <w:pPr>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rsid w:val="00696C01"/>
    <w:pPr>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rsid w:val="00696C01"/>
    <w:pPr>
      <w:ind w:left="200" w:hanging="200"/>
    </w:pPr>
  </w:style>
  <w:style w:type="paragraph" w:styleId="TableofFigures">
    <w:name w:val="table of figures"/>
    <w:basedOn w:val="Normal"/>
    <w:next w:val="Normal"/>
    <w:uiPriority w:val="99"/>
    <w:semiHidden/>
    <w:rsid w:val="00696C01"/>
  </w:style>
  <w:style w:type="table" w:styleId="TableProfessional">
    <w:name w:val="Table Professional"/>
    <w:basedOn w:val="TableNormal"/>
    <w:uiPriority w:val="99"/>
    <w:semiHidden/>
    <w:rsid w:val="00696C01"/>
    <w:pPr>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rsid w:val="00696C01"/>
    <w:pPr>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rsid w:val="00696C01"/>
    <w:pPr>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rsid w:val="00696C01"/>
    <w:pPr>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rsid w:val="00696C01"/>
    <w:pPr>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rsid w:val="00696C01"/>
    <w:pPr>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rsid w:val="00696C01"/>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rsid w:val="00696C01"/>
    <w:pPr>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rsid w:val="00696C01"/>
    <w:pPr>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rsid w:val="00696C01"/>
    <w:pPr>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itle">
    <w:name w:val="Title"/>
    <w:basedOn w:val="Normal"/>
    <w:next w:val="Normal"/>
    <w:link w:val="TitleChar"/>
    <w:uiPriority w:val="19"/>
    <w:qFormat/>
    <w:rsid w:val="00696C01"/>
    <w:pPr>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9"/>
    <w:rsid w:val="00696C01"/>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rsid w:val="00696C01"/>
    <w:pPr>
      <w:spacing w:before="120"/>
    </w:pPr>
    <w:rPr>
      <w:rFonts w:asciiTheme="majorHAnsi" w:eastAsiaTheme="majorEastAsia" w:hAnsiTheme="majorHAnsi" w:cstheme="majorBidi"/>
      <w:b/>
      <w:bCs/>
      <w:sz w:val="24"/>
      <w:szCs w:val="24"/>
    </w:rPr>
  </w:style>
  <w:style w:type="paragraph" w:styleId="TOC5">
    <w:name w:val="toc 5"/>
    <w:basedOn w:val="Normal"/>
    <w:next w:val="Normal"/>
    <w:autoRedefine/>
    <w:uiPriority w:val="39"/>
    <w:semiHidden/>
    <w:rsid w:val="00696C01"/>
    <w:pPr>
      <w:spacing w:after="100"/>
      <w:ind w:left="800"/>
    </w:pPr>
  </w:style>
  <w:style w:type="paragraph" w:styleId="TOC6">
    <w:name w:val="toc 6"/>
    <w:basedOn w:val="Normal"/>
    <w:next w:val="Normal"/>
    <w:autoRedefine/>
    <w:uiPriority w:val="39"/>
    <w:semiHidden/>
    <w:rsid w:val="00696C01"/>
    <w:pPr>
      <w:spacing w:after="100"/>
      <w:ind w:left="1000"/>
    </w:pPr>
  </w:style>
  <w:style w:type="paragraph" w:styleId="TOC7">
    <w:name w:val="toc 7"/>
    <w:basedOn w:val="Normal"/>
    <w:next w:val="Normal"/>
    <w:autoRedefine/>
    <w:uiPriority w:val="39"/>
    <w:semiHidden/>
    <w:rsid w:val="00696C01"/>
    <w:pPr>
      <w:spacing w:after="100"/>
      <w:ind w:left="1200"/>
    </w:pPr>
  </w:style>
  <w:style w:type="paragraph" w:styleId="TOC8">
    <w:name w:val="toc 8"/>
    <w:basedOn w:val="Normal"/>
    <w:next w:val="Normal"/>
    <w:autoRedefine/>
    <w:uiPriority w:val="39"/>
    <w:semiHidden/>
    <w:rsid w:val="00696C01"/>
    <w:pPr>
      <w:spacing w:after="100"/>
      <w:ind w:left="1400"/>
    </w:pPr>
  </w:style>
  <w:style w:type="paragraph" w:styleId="TOC9">
    <w:name w:val="toc 9"/>
    <w:basedOn w:val="Normal"/>
    <w:next w:val="Normal"/>
    <w:autoRedefine/>
    <w:uiPriority w:val="39"/>
    <w:semiHidden/>
    <w:rsid w:val="00696C01"/>
    <w:pPr>
      <w:spacing w:after="100"/>
      <w:ind w:left="1600"/>
    </w:pPr>
  </w:style>
  <w:style w:type="paragraph" w:styleId="TOCHeading">
    <w:name w:val="TOC Heading"/>
    <w:basedOn w:val="Heading1"/>
    <w:next w:val="Normal"/>
    <w:uiPriority w:val="39"/>
    <w:semiHidden/>
    <w:rsid w:val="00696C01"/>
    <w:pPr>
      <w:spacing w:before="240" w:after="0" w:line="240" w:lineRule="auto"/>
      <w:outlineLvl w:val="9"/>
    </w:pPr>
    <w:rPr>
      <w:rFonts w:asciiTheme="majorHAnsi" w:hAnsiTheme="majorHAnsi"/>
      <w:bCs w:val="0"/>
      <w:color w:val="365F91" w:themeColor="accent1" w:themeShade="BF"/>
      <w:sz w:val="32"/>
      <w:szCs w:val="32"/>
    </w:rPr>
  </w:style>
  <w:style w:type="character" w:styleId="UnresolvedMention">
    <w:name w:val="Unresolved Mention"/>
    <w:basedOn w:val="DefaultParagraphFont"/>
    <w:uiPriority w:val="99"/>
    <w:semiHidden/>
    <w:rsid w:val="00696C01"/>
    <w:rPr>
      <w:color w:val="605E5C"/>
      <w:shd w:val="clear" w:color="auto" w:fill="E1DFDD"/>
    </w:rPr>
  </w:style>
  <w:style w:type="paragraph" w:styleId="Revision">
    <w:name w:val="Revision"/>
    <w:hidden/>
    <w:uiPriority w:val="99"/>
    <w:semiHidden/>
    <w:rsid w:val="00342E4C"/>
    <w:pPr>
      <w:spacing w:after="0" w:line="240" w:lineRule="auto"/>
    </w:pPr>
    <w:rPr>
      <w:color w:val="000000" w:themeColor="text1"/>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1.xml"/><Relationship Id="rId3" Type="http://schemas.openxmlformats.org/officeDocument/2006/relationships/settings" Target="settings.xml"/><Relationship Id="rId21" Type="http://schemas.openxmlformats.org/officeDocument/2006/relationships/customXml" Target="../customXml/item4.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glossaryDocument" Target="glossary/document.xml"/><Relationship Id="rId20" Type="http://schemas.openxmlformats.org/officeDocument/2006/relationships/customXml" Target="../customXml/item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customXml" Target="../customXml/item2.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footer3.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737933B3578C46E6BCC6999EF745FF1D"/>
        <w:category>
          <w:name w:val="General"/>
          <w:gallery w:val="placeholder"/>
        </w:category>
        <w:types>
          <w:type w:val="bbPlcHdr"/>
        </w:types>
        <w:behaviors>
          <w:behavior w:val="content"/>
        </w:behaviors>
        <w:guid w:val="{65BF9801-2F6A-4521-A9F9-E30E37278C78}"/>
      </w:docPartPr>
      <w:docPartBody>
        <w:p w:rsidR="00254C9E" w:rsidRDefault="00254C9E"/>
      </w:docPartBody>
    </w:docPart>
    <w:docPart>
      <w:docPartPr>
        <w:name w:val="0AB5696A1D66436CBDA038D7CF239803"/>
        <w:category>
          <w:name w:val="General"/>
          <w:gallery w:val="placeholder"/>
        </w:category>
        <w:types>
          <w:type w:val="bbPlcHdr"/>
        </w:types>
        <w:behaviors>
          <w:behavior w:val="content"/>
        </w:behaviors>
        <w:guid w:val="{10B0AF5B-F649-491E-AF50-590519510AE3}"/>
      </w:docPartPr>
      <w:docPartBody>
        <w:p w:rsidR="00A03F25" w:rsidRDefault="00A03F25"/>
      </w:docPartBody>
    </w:docPart>
    <w:docPart>
      <w:docPartPr>
        <w:name w:val="368B526300AE4EB085524F57657D568B"/>
        <w:category>
          <w:name w:val="General"/>
          <w:gallery w:val="placeholder"/>
        </w:category>
        <w:types>
          <w:type w:val="bbPlcHdr"/>
        </w:types>
        <w:behaviors>
          <w:behavior w:val="content"/>
        </w:behaviors>
        <w:guid w:val="{BC559A5E-B0CA-44B7-A69B-569424322A21}"/>
      </w:docPartPr>
      <w:docPartBody>
        <w:p w:rsidR="00092259" w:rsidRDefault="00092259"/>
      </w:docPartBody>
    </w:docPart>
    <w:docPart>
      <w:docPartPr>
        <w:name w:val="CFFAF42D103B42FF89AF5B1065F6CC6D"/>
        <w:category>
          <w:name w:val="General"/>
          <w:gallery w:val="placeholder"/>
        </w:category>
        <w:types>
          <w:type w:val="bbPlcHdr"/>
        </w:types>
        <w:behaviors>
          <w:behavior w:val="content"/>
        </w:behaviors>
        <w:guid w:val="{790655A8-197D-4937-873D-BDF056F1CEAE}"/>
      </w:docPartPr>
      <w:docPartBody>
        <w:p w:rsidR="00092259" w:rsidRDefault="00092259"/>
      </w:docPartBody>
    </w:docPart>
    <w:docPart>
      <w:docPartPr>
        <w:name w:val="2080F82823214D4CB570A5D589B7DA30"/>
        <w:category>
          <w:name w:val="General"/>
          <w:gallery w:val="placeholder"/>
        </w:category>
        <w:types>
          <w:type w:val="bbPlcHdr"/>
        </w:types>
        <w:behaviors>
          <w:behavior w:val="content"/>
        </w:behaviors>
        <w:guid w:val="{A306B288-2880-4952-90E5-76C33447EF97}"/>
      </w:docPartPr>
      <w:docPartBody>
        <w:p w:rsidR="00092259" w:rsidRDefault="00092259"/>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62B8"/>
    <w:rsid w:val="00092259"/>
    <w:rsid w:val="000C546A"/>
    <w:rsid w:val="000E4D65"/>
    <w:rsid w:val="00250177"/>
    <w:rsid w:val="00254C9E"/>
    <w:rsid w:val="00307521"/>
    <w:rsid w:val="0037326B"/>
    <w:rsid w:val="00375592"/>
    <w:rsid w:val="003B7157"/>
    <w:rsid w:val="003E08FE"/>
    <w:rsid w:val="00510C4A"/>
    <w:rsid w:val="005230EB"/>
    <w:rsid w:val="0057299E"/>
    <w:rsid w:val="00621AD8"/>
    <w:rsid w:val="006F4684"/>
    <w:rsid w:val="00735115"/>
    <w:rsid w:val="008C62B8"/>
    <w:rsid w:val="00927FB1"/>
    <w:rsid w:val="00A03F25"/>
    <w:rsid w:val="00B24C7C"/>
    <w:rsid w:val="00C07823"/>
    <w:rsid w:val="00C80BF6"/>
    <w:rsid w:val="00DF1CF0"/>
    <w:rsid w:val="00E45CC0"/>
    <w:rsid w:val="00E47EE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C62B8"/>
    <w:rPr>
      <w:rFonts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3511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Core Document" ma:contentTypeID="0x0101004691A8DE0991884F8E90AD6474FC737301003430BDA54C0C6947AD5510ED8D961E8E" ma:contentTypeVersion="13" ma:contentTypeDescription="Create a new document." ma:contentTypeScope="" ma:versionID="d18ae745e71e4703d4d8e7de04d65c09">
  <xsd:schema xmlns:xsd="http://www.w3.org/2001/XMLSchema" xmlns:xs="http://www.w3.org/2001/XMLSchema" xmlns:p="http://schemas.microsoft.com/office/2006/metadata/properties" xmlns:ns2="0f9fa326-da26-4ea8-b6a9-645e8136fe1d" xmlns:ns3="a213c276-2966-4a61-88a3-9acec9d9c2c2" xmlns:ns4="aaacb922-5235-4a66-b188-303b9b46fbd7" xmlns:ns5="13144106-1b45-4629-9905-05c2091b7dff" targetNamespace="http://schemas.microsoft.com/office/2006/metadata/properties" ma:root="true" ma:fieldsID="12487a57777791c8c8f8aafc55ee8312" ns2:_="" ns3:_="" ns4:_="" ns5:_="">
    <xsd:import namespace="0f9fa326-da26-4ea8-b6a9-645e8136fe1d"/>
    <xsd:import namespace="a213c276-2966-4a61-88a3-9acec9d9c2c2"/>
    <xsd:import namespace="aaacb922-5235-4a66-b188-303b9b46fbd7"/>
    <xsd:import namespace="13144106-1b45-4629-9905-05c2091b7dff"/>
    <xsd:element name="properties">
      <xsd:complexType>
        <xsd:sequence>
          <xsd:element name="documentManagement">
            <xsd:complexType>
              <xsd:all>
                <xsd:element ref="ns2:c6f593ada1854b629148449de059396b" minOccurs="0"/>
                <xsd:element ref="ns3:TaxCatchAll" minOccurs="0"/>
                <xsd:element ref="ns3:TaxCatchAllLabel" minOccurs="0"/>
                <xsd:element ref="ns2:m817f42addf14c9a838da36e78800043" minOccurs="0"/>
                <xsd:element ref="ns2:h573c97cf80c4aa6b446c5363dc3ac94" minOccurs="0"/>
                <xsd:element ref="ns4:LegacyData" minOccurs="0"/>
                <xsd:element ref="ns3:_dlc_DocId" minOccurs="0"/>
                <xsd:element ref="ns3:_dlc_DocIdPersistId" minOccurs="0"/>
                <xsd:element ref="ns3:_dlc_DocIdUrl" minOccurs="0"/>
                <xsd:element ref="ns5:MediaServiceMetadata" minOccurs="0"/>
                <xsd:element ref="ns5:MediaServiceFastMetadata" minOccurs="0"/>
                <xsd:element ref="ns5:MediaServiceSearchProperties" minOccurs="0"/>
                <xsd:element ref="ns5:Inpipeline" minOccurs="0"/>
                <xsd:element ref="ns5:MediaServiceDateTaken" minOccurs="0"/>
                <xsd:element ref="ns5:MediaServiceOCR" minOccurs="0"/>
                <xsd:element ref="ns5:MediaServiceGenerationTime" minOccurs="0"/>
                <xsd:element ref="ns5:MediaServiceEventHashCode" minOccurs="0"/>
                <xsd:element ref="ns5: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f9fa326-da26-4ea8-b6a9-645e8136fe1d" elementFormDefault="qualified">
    <xsd:import namespace="http://schemas.microsoft.com/office/2006/documentManagement/types"/>
    <xsd:import namespace="http://schemas.microsoft.com/office/infopath/2007/PartnerControls"/>
    <xsd:element name="c6f593ada1854b629148449de059396b" ma:index="8" nillable="true" ma:taxonomy="true" ma:internalName="c6f593ada1854b629148449de059396b" ma:taxonomyFieldName="KIM_GovernmentBody" ma:displayName="Government Body" ma:default="3;#DESNZ|bb335eaf-f697-16af-0755-aa8d4628e736" ma:fieldId="{c6f593ad-a185-4b62-9148-449de059396b}" ma:sspId="9b0aeba9-2bce-41c2-8545-5d12d676a674" ma:termSetId="46784332-da01-4f4a-94fa-2a245cb438b3" ma:anchorId="00000000-0000-0000-0000-000000000000" ma:open="false" ma:isKeyword="false">
      <xsd:complexType>
        <xsd:sequence>
          <xsd:element ref="pc:Terms" minOccurs="0" maxOccurs="1"/>
        </xsd:sequence>
      </xsd:complexType>
    </xsd:element>
    <xsd:element name="m817f42addf14c9a838da36e78800043" ma:index="12" nillable="true" ma:taxonomy="true" ma:internalName="m817f42addf14c9a838da36e78800043" ma:taxonomyFieldName="KIM_Function" ma:displayName="Function" ma:default="1;#Partner organisations|3e29f963-82a5-72a9-6184-d34c0a7bb26f" ma:fieldId="{6817f42a-ddf1-4c9a-838d-a36e78800043}" ma:sspId="9b0aeba9-2bce-41c2-8545-5d12d676a674" ma:termSetId="8a8c3714-5ee2-45f9-8c60-591b9d070299" ma:anchorId="00000000-0000-0000-0000-000000000000" ma:open="false" ma:isKeyword="false">
      <xsd:complexType>
        <xsd:sequence>
          <xsd:element ref="pc:Terms" minOccurs="0" maxOccurs="1"/>
        </xsd:sequence>
      </xsd:complexType>
    </xsd:element>
    <xsd:element name="h573c97cf80c4aa6b446c5363dc3ac94" ma:index="14" nillable="true" ma:taxonomy="true" ma:internalName="h573c97cf80c4aa6b446c5363dc3ac94" ma:taxonomyFieldName="KIM_Activity" ma:displayName="Activity" ma:default="2;#Great British Energy|0d77f157-adc3-5de6-7e9a-e68b46a048d3" ma:fieldId="{1573c97c-f80c-4aa6-b446-c5363dc3ac94}" ma:sspId="9b0aeba9-2bce-41c2-8545-5d12d676a674" ma:termSetId="5c6dcaef-f335-486f-b10e-5a74f102472a"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213c276-2966-4a61-88a3-9acec9d9c2c2" elementFormDefault="qualified">
    <xsd:import namespace="http://schemas.microsoft.com/office/2006/documentManagement/types"/>
    <xsd:import namespace="http://schemas.microsoft.com/office/infopath/2007/PartnerControls"/>
    <xsd:element name="TaxCatchAll" ma:index="9" nillable="true" ma:displayName="Taxonomy Catch All Column" ma:hidden="true" ma:list="{a7ab5463-a0aa-422a-82da-96e054f4a9f9}" ma:internalName="TaxCatchAll" ma:showField="CatchAllData"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TaxCatchAllLabel" ma:index="10" nillable="true" ma:displayName="Taxonomy Catch All Column1" ma:hidden="true" ma:list="{a7ab5463-a0aa-422a-82da-96e054f4a9f9}" ma:internalName="TaxCatchAllLabel" ma:readOnly="true" ma:showField="CatchAllDataLabel" ma:web="a213c276-2966-4a61-88a3-9acec9d9c2c2">
      <xsd:complexType>
        <xsd:complexContent>
          <xsd:extension base="dms:MultiChoiceLookup">
            <xsd:sequence>
              <xsd:element name="Value" type="dms:Lookup" maxOccurs="unbounded" minOccurs="0" nillable="true"/>
            </xsd:sequence>
          </xsd:extension>
        </xsd:complexContent>
      </xsd:complex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PersistId" ma:index="18" nillable="true" ma:displayName="Persist ID" ma:description="Keep ID on add." ma:hidden="true" ma:internalName="_dlc_DocIdPersistId" ma:readOnly="true">
      <xsd:simpleType>
        <xsd:restriction base="dms:Boolean"/>
      </xsd:simpleType>
    </xsd:element>
    <xsd:element name="_dlc_DocIdUrl" ma:index="1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aacb922-5235-4a66-b188-303b9b46fbd7" elementFormDefault="qualified">
    <xsd:import namespace="http://schemas.microsoft.com/office/2006/documentManagement/types"/>
    <xsd:import namespace="http://schemas.microsoft.com/office/infopath/2007/PartnerControls"/>
    <xsd:element name="LegacyData" ma:index="16" nillable="true" ma:displayName="Legacy Data" ma:internalName="LegacyData">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144106-1b45-4629-9905-05c2091b7dff" elementFormDefault="qualified">
    <xsd:import namespace="http://schemas.microsoft.com/office/2006/documentManagement/types"/>
    <xsd:import namespace="http://schemas.microsoft.com/office/infopath/2007/PartnerControls"/>
    <xsd:element name="MediaServiceMetadata" ma:index="20" nillable="true" ma:displayName="MediaServiceMetadata" ma:hidden="true" ma:internalName="MediaServiceMetadata" ma:readOnly="true">
      <xsd:simpleType>
        <xsd:restriction base="dms:Note"/>
      </xsd:simpleType>
    </xsd:element>
    <xsd:element name="MediaServiceFastMetadata" ma:index="21" nillable="true" ma:displayName="MediaServiceFastMetadata" ma:hidden="true" ma:internalName="MediaServiceFastMetadata" ma:readOnly="true">
      <xsd:simpleType>
        <xsd:restriction base="dms:Note"/>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Inpipeline" ma:index="23" nillable="true" ma:displayName="In pipeline" ma:default="1" ma:format="Dropdown" ma:internalName="Inpipeline">
      <xsd:simpleType>
        <xsd:restriction base="dms:Boolean"/>
      </xsd:simpleType>
    </xsd:element>
    <xsd:element name="MediaServiceDateTaken" ma:index="24" nillable="true" ma:displayName="MediaServiceDateTaken" ma:hidden="true" ma:indexed="true" ma:internalName="MediaServiceDateTaken" ma:readOnly="true">
      <xsd:simpleType>
        <xsd:restriction base="dms:Text"/>
      </xsd:simpleType>
    </xsd:element>
    <xsd:element name="MediaServiceOCR" ma:index="25" nillable="true" ma:displayName="Extracted Text" ma:internalName="MediaServiceOCR" ma:readOnly="true">
      <xsd:simpleType>
        <xsd:restriction base="dms:Note">
          <xsd:maxLength value="255"/>
        </xsd:restriction>
      </xsd:simpleType>
    </xsd:element>
    <xsd:element name="MediaServiceGenerationTime" ma:index="26" nillable="true" ma:displayName="MediaServiceGenerationTime" ma:hidden="true" ma:internalName="MediaServiceGenerationTime" ma:readOnly="true">
      <xsd:simpleType>
        <xsd:restriction base="dms:Text"/>
      </xsd:simpleType>
    </xsd:element>
    <xsd:element name="MediaServiceEventHashCode" ma:index="27" nillable="true" ma:displayName="MediaServiceEventHashCode" ma:hidden="true" ma:internalName="MediaServiceEventHashCode" ma:readOnly="true">
      <xsd:simpleType>
        <xsd:restriction base="dms:Text"/>
      </xsd:simpleType>
    </xsd:element>
    <xsd:element name="MediaLengthInSeconds" ma:index="28"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c6f593ada1854b629148449de059396b xmlns="0f9fa326-da26-4ea8-b6a9-645e8136fe1d">
      <Terms xmlns="http://schemas.microsoft.com/office/infopath/2007/PartnerControls">
        <TermInfo xmlns="http://schemas.microsoft.com/office/infopath/2007/PartnerControls">
          <TermName xmlns="http://schemas.microsoft.com/office/infopath/2007/PartnerControls">DESNZ</TermName>
          <TermId xmlns="http://schemas.microsoft.com/office/infopath/2007/PartnerControls">bb335eaf-f697-16af-0755-aa8d4628e736</TermId>
        </TermInfo>
      </Terms>
    </c6f593ada1854b629148449de059396b>
    <LegacyData xmlns="aaacb922-5235-4a66-b188-303b9b46fbd7" xsi:nil="true"/>
    <Inpipeline xmlns="13144106-1b45-4629-9905-05c2091b7dff">true</Inpipeline>
    <m817f42addf14c9a838da36e78800043 xmlns="0f9fa326-da26-4ea8-b6a9-645e8136fe1d">
      <Terms xmlns="http://schemas.microsoft.com/office/infopath/2007/PartnerControls">
        <TermInfo xmlns="http://schemas.microsoft.com/office/infopath/2007/PartnerControls">
          <TermName xmlns="http://schemas.microsoft.com/office/infopath/2007/PartnerControls">Partner organisations</TermName>
          <TermId xmlns="http://schemas.microsoft.com/office/infopath/2007/PartnerControls">3e29f963-82a5-72a9-6184-d34c0a7bb26f</TermId>
        </TermInfo>
      </Terms>
    </m817f42addf14c9a838da36e78800043>
    <TaxCatchAll xmlns="a213c276-2966-4a61-88a3-9acec9d9c2c2">
      <Value>3</Value>
      <Value>2</Value>
      <Value>1</Value>
    </TaxCatchAll>
    <h573c97cf80c4aa6b446c5363dc3ac94 xmlns="0f9fa326-da26-4ea8-b6a9-645e8136fe1d">
      <Terms xmlns="http://schemas.microsoft.com/office/infopath/2007/PartnerControls">
        <TermInfo xmlns="http://schemas.microsoft.com/office/infopath/2007/PartnerControls">
          <TermName xmlns="http://schemas.microsoft.com/office/infopath/2007/PartnerControls">Great British Energy</TermName>
          <TermId xmlns="http://schemas.microsoft.com/office/infopath/2007/PartnerControls">0d77f157-adc3-5de6-7e9a-e68b46a048d3</TermId>
        </TermInfo>
      </Terms>
    </h573c97cf80c4aa6b446c5363dc3ac94>
    <_dlc_DocId xmlns="a213c276-2966-4a61-88a3-9acec9d9c2c2">AK2ZMWYHZNRD-2128999959-2851</_dlc_DocId>
    <_dlc_DocIdUrl xmlns="a213c276-2966-4a61-88a3-9acec9d9c2c2">
      <Url>https://beisgov.sharepoint.com/sites/GBECompany-EXT-OS-GBELocal/_layouts/15/DocIdRedir.aspx?ID=AK2ZMWYHZNRD-2128999959-2851</Url>
      <Description>AK2ZMWYHZNRD-2128999959-2851</Description>
    </_dlc_DocIdUrl>
  </documentManagement>
</p:properties>
</file>

<file path=customXml/itemProps1.xml><?xml version="1.0" encoding="utf-8"?>
<ds:datastoreItem xmlns:ds="http://schemas.openxmlformats.org/officeDocument/2006/customXml" ds:itemID="{F2A409CB-614C-4343-8B15-BCE713EE7492}"/>
</file>

<file path=customXml/itemProps2.xml><?xml version="1.0" encoding="utf-8"?>
<ds:datastoreItem xmlns:ds="http://schemas.openxmlformats.org/officeDocument/2006/customXml" ds:itemID="{C65D9D80-91DD-4145-AD53-1C97372EC1AA}"/>
</file>

<file path=customXml/itemProps3.xml><?xml version="1.0" encoding="utf-8"?>
<ds:datastoreItem xmlns:ds="http://schemas.openxmlformats.org/officeDocument/2006/customXml" ds:itemID="{A69E1240-CA5C-42BC-BEAB-BAEC6B98C46A}"/>
</file>

<file path=customXml/itemProps4.xml><?xml version="1.0" encoding="utf-8"?>
<ds:datastoreItem xmlns:ds="http://schemas.openxmlformats.org/officeDocument/2006/customXml" ds:itemID="{4DA67281-2B8C-4945-BE65-B348B8ADD5D8}"/>
</file>

<file path=docProps/app.xml><?xml version="1.0" encoding="utf-8"?>
<Properties xmlns="http://schemas.openxmlformats.org/officeDocument/2006/extended-properties" xmlns:vt="http://schemas.openxmlformats.org/officeDocument/2006/docPropsVTypes">
  <Template>Normal.dotm</Template>
  <TotalTime>32</TotalTime>
  <Pages>15</Pages>
  <Words>4683</Words>
  <Characters>25217</Characters>
  <Application>Microsoft Office Word</Application>
  <DocSecurity>0</DocSecurity>
  <Lines>474</Lines>
  <Paragraphs>179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NFAN</cp:lastModifiedBy>
  <cp:revision>9</cp:revision>
  <dcterms:created xsi:type="dcterms:W3CDTF">2026-04-16T10:16:00Z</dcterms:created>
  <dcterms:modified xsi:type="dcterms:W3CDTF">2026-04-17T08:42:00Z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BIManageDocNumber">
    <vt:lpwstr>94715633</vt:lpwstr>
  </property>
  <property fmtid="{D5CDD505-2E9C-101B-9397-08002B2CF9AE}" pid="3" name="BBIManageDocVersion">
    <vt:lpwstr>1</vt:lpwstr>
  </property>
  <property fmtid="{D5CDD505-2E9C-101B-9397-08002B2CF9AE}" pid="4" name="BBIManageDocWorkspace">
    <vt:lpwstr>ENEBY.0002 - GB Energy Community Energy</vt:lpwstr>
  </property>
  <property fmtid="{D5CDD505-2E9C-101B-9397-08002B2CF9AE}" pid="5" name="BBIManageDocClient">
    <vt:lpwstr>ENEBY</vt:lpwstr>
  </property>
  <property fmtid="{D5CDD505-2E9C-101B-9397-08002B2CF9AE}" pid="6" name="BBIManageDocMatter">
    <vt:lpwstr>0002</vt:lpwstr>
  </property>
  <property fmtid="{D5CDD505-2E9C-101B-9397-08002B2CF9AE}" pid="7" name="BBIManageDocLibrary">
    <vt:lpwstr>Matters</vt:lpwstr>
  </property>
  <property fmtid="{D5CDD505-2E9C-101B-9397-08002B2CF9AE}" pid="8" name="BBIManageDocDescription">
    <vt:lpwstr>GBE - Guidance for Scottish Share Security - Scotland</vt:lpwstr>
  </property>
  <property fmtid="{D5CDD505-2E9C-101B-9397-08002B2CF9AE}" pid="9" name="BBIManageDocFolder">
    <vt:lpwstr>ENEBY.0002 - GB Energy Community Energy\Documents\* FINAL FORM Templates and Guidance\Scotland documents\Guidance and templates\</vt:lpwstr>
  </property>
  <property fmtid="{D5CDD505-2E9C-101B-9397-08002B2CF9AE}" pid="10" name="BBDocRef">
    <vt:lpwstr>Matters\94715633.1</vt:lpwstr>
  </property>
  <property fmtid="{D5CDD505-2E9C-101B-9397-08002B2CF9AE}" pid="11" name="ContentTypeId">
    <vt:lpwstr>0x0101004691A8DE0991884F8E90AD6474FC737301003430BDA54C0C6947AD5510ED8D961E8E</vt:lpwstr>
  </property>
  <property fmtid="{D5CDD505-2E9C-101B-9397-08002B2CF9AE}" pid="12" name="KIM_Activity">
    <vt:lpwstr>2;#Great British Energy|0d77f157-adc3-5de6-7e9a-e68b46a048d3</vt:lpwstr>
  </property>
  <property fmtid="{D5CDD505-2E9C-101B-9397-08002B2CF9AE}" pid="13" name="_dlc_DocIdItemGuid">
    <vt:lpwstr>bb89c2c9-5ae4-4c4b-b492-1b364a7e36f0</vt:lpwstr>
  </property>
  <property fmtid="{D5CDD505-2E9C-101B-9397-08002B2CF9AE}" pid="14" name="KIM_GovernmentBody">
    <vt:lpwstr>3;#DESNZ|bb335eaf-f697-16af-0755-aa8d4628e736</vt:lpwstr>
  </property>
  <property fmtid="{D5CDD505-2E9C-101B-9397-08002B2CF9AE}" pid="15" name="KIM_Function">
    <vt:lpwstr>1;#Partner organisations|3e29f963-82a5-72a9-6184-d34c0a7bb26f</vt:lpwstr>
  </property>
</Properties>
</file>